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9A8B" w14:textId="77777777" w:rsidR="00E33787" w:rsidRPr="00490EC2" w:rsidRDefault="00415774" w:rsidP="00490EC2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Senior Land Manager</w:t>
      </w:r>
    </w:p>
    <w:p w14:paraId="4D4A9A8D" w14:textId="5B5C3EA7" w:rsidR="006F6F9C" w:rsidRDefault="00E33787" w:rsidP="006F6F9C">
      <w:pPr>
        <w:jc w:val="both"/>
        <w:rPr>
          <w:rFonts w:ascii="Calibri" w:hAnsi="Calibri" w:cs="Arial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We are looking for a</w:t>
      </w:r>
      <w:r w:rsidR="00C14D6D">
        <w:rPr>
          <w:rFonts w:asciiTheme="minorHAnsi" w:eastAsia="Calibri" w:hAnsiTheme="minorHAnsi"/>
          <w:sz w:val="18"/>
          <w:szCs w:val="18"/>
        </w:rPr>
        <w:t xml:space="preserve">n expert </w:t>
      </w:r>
      <w:r w:rsidR="00415774">
        <w:rPr>
          <w:rFonts w:asciiTheme="minorHAnsi" w:eastAsia="Calibri" w:hAnsiTheme="minorHAnsi"/>
          <w:sz w:val="18"/>
          <w:szCs w:val="18"/>
        </w:rPr>
        <w:t>Senior Land</w:t>
      </w:r>
      <w:r w:rsidR="00DF5971">
        <w:rPr>
          <w:rFonts w:asciiTheme="minorHAnsi" w:eastAsia="Calibri" w:hAnsiTheme="minorHAnsi"/>
          <w:sz w:val="18"/>
          <w:szCs w:val="18"/>
        </w:rPr>
        <w:t xml:space="preserve"> Manager </w:t>
      </w:r>
      <w:r w:rsidRPr="008C5081">
        <w:rPr>
          <w:rFonts w:asciiTheme="minorHAnsi" w:eastAsia="Calibri" w:hAnsiTheme="minorHAnsi"/>
          <w:sz w:val="18"/>
          <w:szCs w:val="18"/>
        </w:rPr>
        <w:t xml:space="preserve">who </w:t>
      </w:r>
      <w:r w:rsidR="006F6F9C">
        <w:rPr>
          <w:rFonts w:asciiTheme="minorHAnsi" w:eastAsia="Calibri" w:hAnsiTheme="minorHAnsi"/>
          <w:sz w:val="18"/>
          <w:szCs w:val="18"/>
        </w:rPr>
        <w:t xml:space="preserve">will be </w:t>
      </w:r>
      <w:r w:rsidR="00706778" w:rsidRPr="008C5081">
        <w:rPr>
          <w:rFonts w:asciiTheme="minorHAnsi" w:eastAsia="Calibri" w:hAnsiTheme="minorHAnsi"/>
          <w:sz w:val="18"/>
          <w:szCs w:val="18"/>
        </w:rPr>
        <w:t xml:space="preserve">able to </w:t>
      </w:r>
      <w:r w:rsidR="006F6F9C">
        <w:rPr>
          <w:rFonts w:asciiTheme="minorHAnsi" w:eastAsia="Calibri" w:hAnsiTheme="minorHAnsi"/>
          <w:sz w:val="18"/>
          <w:szCs w:val="18"/>
        </w:rPr>
        <w:t>i</w:t>
      </w:r>
      <w:r w:rsidR="006F6F9C">
        <w:rPr>
          <w:rFonts w:ascii="Calibri" w:hAnsi="Calibri" w:cs="Arial"/>
          <w:sz w:val="18"/>
          <w:szCs w:val="18"/>
        </w:rPr>
        <w:t>dentify suitable opportunities to meet business strategy.</w:t>
      </w:r>
    </w:p>
    <w:p w14:paraId="7CDC8081" w14:textId="77777777" w:rsidR="0098236A" w:rsidRPr="00DD7E5C" w:rsidRDefault="0098236A" w:rsidP="006F6F9C">
      <w:pPr>
        <w:jc w:val="both"/>
        <w:rPr>
          <w:rFonts w:ascii="Calibri" w:hAnsi="Calibri" w:cs="Arial"/>
          <w:sz w:val="18"/>
          <w:szCs w:val="18"/>
        </w:rPr>
      </w:pPr>
    </w:p>
    <w:p w14:paraId="46B746C9" w14:textId="6C9E6C10" w:rsidR="0098236A" w:rsidRPr="0098236A" w:rsidRDefault="00E3508C" w:rsidP="0098236A">
      <w:p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Theme="minorHAnsi" w:hAnsiTheme="minorHAnsi" w:cs="Arial"/>
          <w:sz w:val="18"/>
          <w:szCs w:val="18"/>
        </w:rPr>
        <w:t xml:space="preserve">You will </w:t>
      </w:r>
      <w:r w:rsidR="0098236A" w:rsidRPr="0098236A">
        <w:rPr>
          <w:rFonts w:asciiTheme="minorHAnsi" w:hAnsiTheme="minorHAnsi" w:cs="Arial"/>
          <w:sz w:val="18"/>
          <w:szCs w:val="18"/>
        </w:rPr>
        <w:t>m</w:t>
      </w:r>
      <w:r w:rsidR="0098236A" w:rsidRPr="0098236A">
        <w:rPr>
          <w:rFonts w:ascii="Calibri" w:hAnsi="Calibri"/>
          <w:color w:val="262626"/>
          <w:sz w:val="18"/>
          <w:szCs w:val="18"/>
        </w:rPr>
        <w:t>anage current assets through to delivery ensuring good practice and process</w:t>
      </w:r>
      <w:r w:rsidR="0098236A">
        <w:rPr>
          <w:rFonts w:ascii="Calibri" w:hAnsi="Calibri"/>
          <w:color w:val="262626"/>
          <w:sz w:val="18"/>
          <w:szCs w:val="18"/>
        </w:rPr>
        <w:t>, u</w:t>
      </w:r>
      <w:r w:rsidR="0098236A" w:rsidRPr="0098236A">
        <w:rPr>
          <w:rFonts w:ascii="Calibri" w:hAnsi="Calibri"/>
          <w:color w:val="262626"/>
          <w:sz w:val="18"/>
          <w:szCs w:val="18"/>
        </w:rPr>
        <w:t>ndertake land purchase exercises on new land opportunities</w:t>
      </w:r>
      <w:r w:rsidR="0098236A" w:rsidRPr="0098236A">
        <w:rPr>
          <w:rFonts w:ascii="Calibri" w:hAnsi="Calibri"/>
          <w:color w:val="262626"/>
          <w:sz w:val="18"/>
          <w:szCs w:val="18"/>
        </w:rPr>
        <w:t xml:space="preserve">, </w:t>
      </w:r>
      <w:r w:rsidR="0098236A">
        <w:rPr>
          <w:rFonts w:ascii="Calibri" w:hAnsi="Calibri"/>
          <w:color w:val="262626"/>
          <w:sz w:val="18"/>
          <w:szCs w:val="18"/>
        </w:rPr>
        <w:t>e</w:t>
      </w:r>
      <w:r w:rsidR="0098236A" w:rsidRPr="0098236A">
        <w:rPr>
          <w:rFonts w:ascii="Calibri" w:hAnsi="Calibri"/>
          <w:color w:val="262626"/>
          <w:sz w:val="18"/>
          <w:szCs w:val="18"/>
        </w:rPr>
        <w:t>stablish the technical constraints and solutions to enable a new opportunity to be successfully developed, negotiate contracts ready for agreement and completion by Land Director.</w:t>
      </w:r>
      <w:r w:rsidR="0098236A">
        <w:rPr>
          <w:rFonts w:ascii="Calibri" w:hAnsi="Calibri"/>
          <w:color w:val="262626"/>
          <w:sz w:val="18"/>
          <w:szCs w:val="18"/>
        </w:rPr>
        <w:t xml:space="preserve"> Also, p</w:t>
      </w:r>
      <w:r w:rsidR="0098236A" w:rsidRPr="0098236A">
        <w:rPr>
          <w:rFonts w:ascii="Calibri" w:hAnsi="Calibri"/>
          <w:color w:val="262626"/>
          <w:sz w:val="18"/>
          <w:szCs w:val="18"/>
        </w:rPr>
        <w:t xml:space="preserve">rovide and monitor land market activity on a continuing basis and react to opportunities </w:t>
      </w:r>
    </w:p>
    <w:p w14:paraId="4D4A9A95" w14:textId="77777777"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14:paraId="4D4A9A96" w14:textId="77777777"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14:paraId="780D175F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Prepare appropriate briefs for architects for the preparation of feasibility schemes,</w:t>
      </w:r>
    </w:p>
    <w:p w14:paraId="29469B3D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Collate build costs, market research, local planning policy summary, any technical information to produce a clear assessment of the potential success of a development,</w:t>
      </w:r>
    </w:p>
    <w:p w14:paraId="14BE333A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Liaise with the internal team to produce an initial land value appraisal</w:t>
      </w:r>
    </w:p>
    <w:p w14:paraId="5FBFF729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Build relationships and liaise with RPs and/or HA consultants to obtain offers for affordable housing disposals</w:t>
      </w:r>
    </w:p>
    <w:p w14:paraId="6279B77C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Successfully negotiate terms for land acquisition</w:t>
      </w:r>
    </w:p>
    <w:p w14:paraId="7280F6D9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Build and maintain relationships with internal staff to enable the sharing of information to ensure land purchase exercise information is provided accurately and on time</w:t>
      </w:r>
    </w:p>
    <w:p w14:paraId="588AC4C3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Prepare and obtain the necessary approvals to execute documentation</w:t>
      </w:r>
    </w:p>
    <w:p w14:paraId="5EAB5643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Consider health and safety issues for any potential new sites</w:t>
      </w:r>
    </w:p>
    <w:p w14:paraId="6E1937FB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Attend relevant meetings as required under the Company’s procedures</w:t>
      </w:r>
    </w:p>
    <w:p w14:paraId="7596A5CB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Build and maintain relationships with local contacts to ensure up-to-date knowledge on current and future market opportunities</w:t>
      </w:r>
    </w:p>
    <w:p w14:paraId="2F6345CC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Monitor competitor activity, as well identifying new opportunities to work with competitors</w:t>
      </w:r>
    </w:p>
    <w:p w14:paraId="0E797010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Good knowledge of the geographical area and the main players within it</w:t>
      </w:r>
    </w:p>
    <w:p w14:paraId="63CCDE31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Record and retain any land information received from external providers for future reference</w:t>
      </w:r>
    </w:p>
    <w:p w14:paraId="4574E979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Manage and maintain the land register/portfolio for previous completed sites for any further value or commercial opportunities</w:t>
      </w:r>
    </w:p>
    <w:p w14:paraId="5A5D0617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The commissioning, co-ordination and checking of various consultant designs and reports</w:t>
      </w:r>
    </w:p>
    <w:p w14:paraId="3DBF8A28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Design economically and understand the commercial aspects of design decisions</w:t>
      </w:r>
    </w:p>
    <w:p w14:paraId="4D4A9AA0" w14:textId="77777777" w:rsidR="00874952" w:rsidRDefault="00874952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bookmarkEnd w:id="0"/>
    </w:p>
    <w:p w14:paraId="4D4A9AA1" w14:textId="77777777"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14:paraId="53EB9495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>Must be able to communicate well at all levels</w:t>
      </w:r>
    </w:p>
    <w:p w14:paraId="0FB00082" w14:textId="77777777" w:rsidR="0098236A" w:rsidRPr="0098236A" w:rsidRDefault="0098236A" w:rsidP="0098236A">
      <w:pPr>
        <w:numPr>
          <w:ilvl w:val="0"/>
          <w:numId w:val="36"/>
        </w:numPr>
        <w:rPr>
          <w:rFonts w:ascii="Calibri" w:hAnsi="Calibri"/>
          <w:color w:val="262626"/>
          <w:sz w:val="18"/>
          <w:szCs w:val="18"/>
        </w:rPr>
      </w:pPr>
      <w:r w:rsidRPr="0098236A">
        <w:rPr>
          <w:rFonts w:ascii="Calibri" w:hAnsi="Calibri"/>
          <w:color w:val="262626"/>
          <w:sz w:val="18"/>
          <w:szCs w:val="18"/>
        </w:rPr>
        <w:t xml:space="preserve">Have a working knowledge of the planning system </w:t>
      </w:r>
    </w:p>
    <w:p w14:paraId="1971FD44" w14:textId="6234D334" w:rsidR="0098236A" w:rsidRPr="0098236A" w:rsidRDefault="0098236A" w:rsidP="0098236A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98236A">
        <w:rPr>
          <w:sz w:val="18"/>
          <w:szCs w:val="18"/>
        </w:rPr>
        <w:t>Previous successful experience in land acquisition process in housebuilding industry</w:t>
      </w:r>
    </w:p>
    <w:p w14:paraId="1F975F70" w14:textId="7A59B838" w:rsidR="0098236A" w:rsidRPr="0098236A" w:rsidRDefault="0098236A" w:rsidP="0098236A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98236A">
        <w:rPr>
          <w:sz w:val="18"/>
          <w:szCs w:val="18"/>
        </w:rPr>
        <w:t>Knowledge of planning policy and process</w:t>
      </w:r>
    </w:p>
    <w:p w14:paraId="4D4A9AA7" w14:textId="7EF961D4" w:rsidR="00703CC9" w:rsidRPr="0098236A" w:rsidRDefault="0098236A" w:rsidP="00703CC9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  <w:sz w:val="18"/>
          <w:szCs w:val="18"/>
        </w:rPr>
      </w:pPr>
      <w:r w:rsidRPr="0098236A">
        <w:rPr>
          <w:sz w:val="18"/>
          <w:szCs w:val="18"/>
        </w:rPr>
        <w:t>Commitment to a progressive career</w:t>
      </w:r>
    </w:p>
    <w:p w14:paraId="4D4A9AA8" w14:textId="77777777" w:rsidR="00326D86" w:rsidRPr="008C5081" w:rsidRDefault="00326D86" w:rsidP="00326D86">
      <w:pPr>
        <w:ind w:left="357"/>
        <w:rPr>
          <w:rFonts w:asciiTheme="minorHAnsi" w:eastAsia="Calibri" w:hAnsiTheme="minorHAnsi"/>
          <w:sz w:val="18"/>
          <w:szCs w:val="18"/>
        </w:rPr>
      </w:pPr>
    </w:p>
    <w:p w14:paraId="4D4A9AA9" w14:textId="77777777"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14:paraId="4D4A9AAB" w14:textId="77777777"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14:paraId="4D4A9AAC" w14:textId="77777777"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4D4A9AAD" w14:textId="77777777"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4D4A9AAE" w14:textId="77777777"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4D4A9AAF" w14:textId="16DAA96E" w:rsidR="005C2115" w:rsidRPr="008C5081" w:rsidRDefault="00E33787" w:rsidP="001457F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8C5081">
        <w:rPr>
          <w:rFonts w:asciiTheme="minorHAnsi" w:hAnsiTheme="minorHAnsi" w:cs="Arial"/>
          <w:b/>
          <w:sz w:val="18"/>
          <w:szCs w:val="18"/>
        </w:rPr>
        <w:t>Internal applicants – please advise your Line Man</w:t>
      </w:r>
      <w:r w:rsidR="0098236A">
        <w:rPr>
          <w:rFonts w:asciiTheme="minorHAnsi" w:hAnsiTheme="minorHAnsi" w:cs="Arial"/>
          <w:b/>
          <w:sz w:val="18"/>
          <w:szCs w:val="18"/>
        </w:rPr>
        <w:t>a</w:t>
      </w:r>
      <w:r w:rsidRPr="008C5081">
        <w:rPr>
          <w:rFonts w:asciiTheme="minorHAnsi" w:hAnsiTheme="minorHAnsi" w:cs="Arial"/>
          <w:b/>
          <w:sz w:val="18"/>
          <w:szCs w:val="18"/>
        </w:rPr>
        <w:t xml:space="preserve">ger if applying for this role. </w:t>
      </w:r>
    </w:p>
    <w:sectPr w:rsidR="005C2115" w:rsidRPr="008C5081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9AB2" w14:textId="77777777" w:rsidR="00FE14F8" w:rsidRDefault="00FE14F8">
      <w:r>
        <w:separator/>
      </w:r>
    </w:p>
  </w:endnote>
  <w:endnote w:type="continuationSeparator" w:id="0">
    <w:p w14:paraId="4D4A9AB3" w14:textId="77777777"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9AB7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9AB0" w14:textId="77777777" w:rsidR="00FE14F8" w:rsidRDefault="00FE14F8">
      <w:r>
        <w:separator/>
      </w:r>
    </w:p>
  </w:footnote>
  <w:footnote w:type="continuationSeparator" w:id="0">
    <w:p w14:paraId="4D4A9AB1" w14:textId="77777777"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9AB4" w14:textId="77777777"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4D4A9AB8" wp14:editId="4D4A9AB9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4D4A9AB5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4D4A9AB6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316D0"/>
    <w:multiLevelType w:val="hybridMultilevel"/>
    <w:tmpl w:val="B39C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81372"/>
    <w:multiLevelType w:val="hybridMultilevel"/>
    <w:tmpl w:val="630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3" w15:restartNumberingAfterBreak="0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E0793"/>
    <w:multiLevelType w:val="hybridMultilevel"/>
    <w:tmpl w:val="6A129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267810"/>
    <w:multiLevelType w:val="hybridMultilevel"/>
    <w:tmpl w:val="967C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9"/>
  </w:num>
  <w:num w:numId="4">
    <w:abstractNumId w:val="3"/>
  </w:num>
  <w:num w:numId="5">
    <w:abstractNumId w:val="7"/>
  </w:num>
  <w:num w:numId="6">
    <w:abstractNumId w:val="35"/>
  </w:num>
  <w:num w:numId="7">
    <w:abstractNumId w:val="28"/>
  </w:num>
  <w:num w:numId="8">
    <w:abstractNumId w:val="13"/>
  </w:num>
  <w:num w:numId="9">
    <w:abstractNumId w:val="34"/>
  </w:num>
  <w:num w:numId="10">
    <w:abstractNumId w:val="40"/>
  </w:num>
  <w:num w:numId="11">
    <w:abstractNumId w:val="5"/>
  </w:num>
  <w:num w:numId="12">
    <w:abstractNumId w:val="16"/>
  </w:num>
  <w:num w:numId="13">
    <w:abstractNumId w:val="10"/>
  </w:num>
  <w:num w:numId="14">
    <w:abstractNumId w:val="30"/>
  </w:num>
  <w:num w:numId="15">
    <w:abstractNumId w:val="21"/>
  </w:num>
  <w:num w:numId="16">
    <w:abstractNumId w:val="31"/>
  </w:num>
  <w:num w:numId="17">
    <w:abstractNumId w:val="24"/>
  </w:num>
  <w:num w:numId="18">
    <w:abstractNumId w:val="32"/>
  </w:num>
  <w:num w:numId="19">
    <w:abstractNumId w:val="9"/>
  </w:num>
  <w:num w:numId="20">
    <w:abstractNumId w:val="18"/>
  </w:num>
  <w:num w:numId="21">
    <w:abstractNumId w:val="20"/>
  </w:num>
  <w:num w:numId="22">
    <w:abstractNumId w:val="4"/>
  </w:num>
  <w:num w:numId="23">
    <w:abstractNumId w:val="27"/>
  </w:num>
  <w:num w:numId="24">
    <w:abstractNumId w:val="22"/>
  </w:num>
  <w:num w:numId="25">
    <w:abstractNumId w:val="11"/>
  </w:num>
  <w:num w:numId="26">
    <w:abstractNumId w:val="0"/>
  </w:num>
  <w:num w:numId="27">
    <w:abstractNumId w:val="6"/>
  </w:num>
  <w:num w:numId="28">
    <w:abstractNumId w:val="26"/>
  </w:num>
  <w:num w:numId="29">
    <w:abstractNumId w:val="23"/>
  </w:num>
  <w:num w:numId="30">
    <w:abstractNumId w:val="39"/>
  </w:num>
  <w:num w:numId="31">
    <w:abstractNumId w:val="15"/>
  </w:num>
  <w:num w:numId="32">
    <w:abstractNumId w:val="12"/>
  </w:num>
  <w:num w:numId="33">
    <w:abstractNumId w:val="14"/>
  </w:num>
  <w:num w:numId="34">
    <w:abstractNumId w:val="25"/>
  </w:num>
  <w:num w:numId="35">
    <w:abstractNumId w:val="1"/>
  </w:num>
  <w:num w:numId="36">
    <w:abstractNumId w:val="38"/>
  </w:num>
  <w:num w:numId="37">
    <w:abstractNumId w:val="17"/>
  </w:num>
  <w:num w:numId="38">
    <w:abstractNumId w:val="36"/>
  </w:num>
  <w:num w:numId="39">
    <w:abstractNumId w:val="19"/>
  </w:num>
  <w:num w:numId="40">
    <w:abstractNumId w:val="3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443F1"/>
    <w:rsid w:val="00246F7C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6F6F9C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74952"/>
    <w:rsid w:val="00894231"/>
    <w:rsid w:val="008B381E"/>
    <w:rsid w:val="008C5081"/>
    <w:rsid w:val="008D0CA9"/>
    <w:rsid w:val="008D0FE2"/>
    <w:rsid w:val="008E273B"/>
    <w:rsid w:val="008F0803"/>
    <w:rsid w:val="008F0D53"/>
    <w:rsid w:val="0098236A"/>
    <w:rsid w:val="009878B1"/>
    <w:rsid w:val="00994D3E"/>
    <w:rsid w:val="009A277A"/>
    <w:rsid w:val="009A2A83"/>
    <w:rsid w:val="009A73EB"/>
    <w:rsid w:val="009C4543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11094"/>
    <w:rsid w:val="00C14D6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651C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D4A9A8B"/>
  <w15:docId w15:val="{623C0104-27AB-4364-9137-A9298F8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4" ma:contentTypeDescription="Create a new document." ma:contentTypeScope="" ma:versionID="cd0257cf1d8931b0a91805e36e62bae9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b672917a4bef8b7dfa66a369e22c37f1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CE28-740E-410D-A6B7-530A2BDF3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8FF01-4550-4973-A4B3-3DD2B643E2DA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723e56e-018a-4a86-b0d7-fb13d13c03e3"/>
    <ds:schemaRef ds:uri="http://schemas.openxmlformats.org/package/2006/metadata/core-properties"/>
    <ds:schemaRef ds:uri="977ed9fe-9f36-4c2c-b8c3-cd0c87a57a3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7B2A1E-43CD-42F9-842E-5DB7D28BB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C69D5-650E-41D7-8645-FD4170AE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3361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Pires - TW Head Office</cp:lastModifiedBy>
  <cp:revision>2</cp:revision>
  <cp:lastPrinted>2013-04-02T07:01:00Z</cp:lastPrinted>
  <dcterms:created xsi:type="dcterms:W3CDTF">2017-08-31T10:34:00Z</dcterms:created>
  <dcterms:modified xsi:type="dcterms:W3CDTF">2017-08-31T10:34:00Z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