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21D7" w14:textId="15827921" w:rsidR="007B3A4F" w:rsidRDefault="00422B24" w:rsidP="00130939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>Technical Manager</w:t>
      </w:r>
    </w:p>
    <w:p w14:paraId="6E2621D8" w14:textId="77777777" w:rsidR="0071735B" w:rsidRPr="005545D6" w:rsidRDefault="0071735B" w:rsidP="00130939">
      <w:pPr>
        <w:rPr>
          <w:rFonts w:asciiTheme="minorHAnsi" w:eastAsia="Calibri" w:hAnsiTheme="minorHAnsi"/>
          <w:sz w:val="20"/>
          <w:szCs w:val="20"/>
        </w:rPr>
      </w:pPr>
    </w:p>
    <w:p w14:paraId="177F540E" w14:textId="77777777" w:rsidR="00651D9C" w:rsidRPr="00651D9C" w:rsidRDefault="004744AD" w:rsidP="00651D9C">
      <w:pPr>
        <w:jc w:val="both"/>
        <w:rPr>
          <w:rFonts w:asciiTheme="minorHAnsi" w:hAnsiTheme="minorHAnsi" w:cs="Arial"/>
          <w:sz w:val="20"/>
          <w:szCs w:val="20"/>
        </w:rPr>
      </w:pPr>
      <w:r w:rsidRPr="00651D9C">
        <w:rPr>
          <w:rFonts w:asciiTheme="minorHAnsi" w:eastAsia="Calibri" w:hAnsiTheme="minorHAnsi"/>
          <w:sz w:val="20"/>
          <w:szCs w:val="20"/>
        </w:rPr>
        <w:t xml:space="preserve">The new Technical Manager will </w:t>
      </w:r>
      <w:r w:rsidR="00651D9C" w:rsidRPr="00651D9C">
        <w:rPr>
          <w:rFonts w:asciiTheme="minorHAnsi" w:hAnsiTheme="minorHAnsi" w:cs="Arial"/>
          <w:sz w:val="20"/>
          <w:szCs w:val="20"/>
        </w:rPr>
        <w:t>participate in the management and co-ordination of the external consultant team through all stages of project procurement (Land &amp; Planning, Commercial, Production, Sales and Adoptions) and actively support the Project team in all matters arising.</w:t>
      </w:r>
    </w:p>
    <w:p w14:paraId="1514CC35" w14:textId="77777777" w:rsidR="00651D9C" w:rsidRDefault="00651D9C" w:rsidP="00651D9C">
      <w:pPr>
        <w:rPr>
          <w:rFonts w:asciiTheme="minorHAnsi" w:hAnsiTheme="minorHAnsi" w:cs="Arial"/>
          <w:sz w:val="20"/>
          <w:szCs w:val="20"/>
        </w:rPr>
      </w:pPr>
    </w:p>
    <w:p w14:paraId="178A1A0A" w14:textId="0ECDAF53" w:rsidR="006E4A6E" w:rsidRPr="00651D9C" w:rsidRDefault="00651D9C" w:rsidP="00651D9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successful candidate will e</w:t>
      </w:r>
      <w:r w:rsidRPr="00651D9C">
        <w:rPr>
          <w:rFonts w:asciiTheme="minorHAnsi" w:hAnsiTheme="minorHAnsi" w:cs="Arial"/>
          <w:sz w:val="20"/>
          <w:szCs w:val="20"/>
        </w:rPr>
        <w:t>nsur</w:t>
      </w:r>
      <w:r>
        <w:rPr>
          <w:rFonts w:asciiTheme="minorHAnsi" w:hAnsiTheme="minorHAnsi" w:cs="Arial"/>
          <w:sz w:val="20"/>
          <w:szCs w:val="20"/>
        </w:rPr>
        <w:t>e</w:t>
      </w:r>
      <w:r w:rsidRPr="00651D9C">
        <w:rPr>
          <w:rFonts w:asciiTheme="minorHAnsi" w:hAnsiTheme="minorHAnsi" w:cs="Arial"/>
          <w:sz w:val="20"/>
          <w:szCs w:val="20"/>
        </w:rPr>
        <w:t xml:space="preserve"> that all disciplines are fully joined up and in synchronisation. Check layout drawings, suppliers and manufacturers details. Assist in obtaining necessary Building Regulation Technical Approvals and advis</w:t>
      </w:r>
      <w:r>
        <w:rPr>
          <w:rFonts w:asciiTheme="minorHAnsi" w:hAnsiTheme="minorHAnsi" w:cs="Arial"/>
          <w:sz w:val="20"/>
          <w:szCs w:val="20"/>
        </w:rPr>
        <w:t>e</w:t>
      </w:r>
      <w:r w:rsidRPr="00651D9C">
        <w:rPr>
          <w:rFonts w:asciiTheme="minorHAnsi" w:hAnsiTheme="minorHAnsi" w:cs="Arial"/>
          <w:sz w:val="20"/>
          <w:szCs w:val="20"/>
        </w:rPr>
        <w:t xml:space="preserve"> all internal Teams of updates and progress. </w:t>
      </w:r>
      <w:r>
        <w:rPr>
          <w:rFonts w:asciiTheme="minorHAnsi" w:hAnsiTheme="minorHAnsi" w:cs="Arial"/>
          <w:sz w:val="20"/>
          <w:szCs w:val="20"/>
        </w:rPr>
        <w:t>You will be expected to e</w:t>
      </w:r>
      <w:r w:rsidRPr="00651D9C">
        <w:rPr>
          <w:rFonts w:asciiTheme="minorHAnsi" w:hAnsiTheme="minorHAnsi" w:cs="Arial"/>
          <w:sz w:val="20"/>
          <w:szCs w:val="20"/>
        </w:rPr>
        <w:t>fficiently resolve and co-ordinate any issues arising from the external consultants</w:t>
      </w:r>
    </w:p>
    <w:p w14:paraId="33D580A7" w14:textId="77777777" w:rsidR="00651D9C" w:rsidRDefault="00651D9C" w:rsidP="00651D9C">
      <w:pPr>
        <w:rPr>
          <w:rFonts w:asciiTheme="minorHAnsi" w:eastAsia="Calibri" w:hAnsiTheme="minorHAnsi"/>
          <w:b/>
          <w:sz w:val="20"/>
          <w:szCs w:val="20"/>
        </w:rPr>
      </w:pPr>
    </w:p>
    <w:p w14:paraId="6E2621DB" w14:textId="61871DAB" w:rsidR="00413838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7DDC9A91" w14:textId="4964AB4B" w:rsidR="006E4A6E" w:rsidRDefault="006E4A6E" w:rsidP="00130939">
      <w:pPr>
        <w:rPr>
          <w:rFonts w:ascii="Calibri" w:eastAsia="Calibri" w:hAnsi="Calibri"/>
          <w:color w:val="262626"/>
          <w:sz w:val="20"/>
          <w:szCs w:val="20"/>
          <w:lang w:val="en-US" w:eastAsia="en-GB"/>
        </w:rPr>
      </w:pPr>
    </w:p>
    <w:p w14:paraId="0E25205D" w14:textId="77777777" w:rsidR="00651D9C" w:rsidRPr="00651D9C" w:rsidRDefault="00651D9C" w:rsidP="00651D9C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Participate in managing the preparation of information required for clearance of all planning conditions.</w:t>
      </w:r>
    </w:p>
    <w:p w14:paraId="41573660" w14:textId="77777777" w:rsidR="00651D9C" w:rsidRPr="00651D9C" w:rsidRDefault="00651D9C" w:rsidP="00651D9C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 xml:space="preserve">Ensure thorough co-ordination between all consultants to prevent any adopting, conflicting or maintenance issues during construction of the development.  </w:t>
      </w:r>
    </w:p>
    <w:p w14:paraId="49CDC941" w14:textId="77777777" w:rsidR="00651D9C" w:rsidRPr="00651D9C" w:rsidRDefault="00651D9C" w:rsidP="00651D9C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Assist in ensuring a submitted application is in line with Operational Framework Requirements and TW internal guidance on “Good Practice” for submission of planning applications.</w:t>
      </w:r>
    </w:p>
    <w:p w14:paraId="76AEAE48" w14:textId="77777777" w:rsidR="00651D9C" w:rsidRPr="00651D9C" w:rsidRDefault="00651D9C" w:rsidP="00651D9C">
      <w:pPr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Attend internal and external team meetings as required to assist in the preparation of information for planning submission.</w:t>
      </w:r>
    </w:p>
    <w:p w14:paraId="26610109" w14:textId="77777777" w:rsidR="00651D9C" w:rsidRPr="00651D9C" w:rsidRDefault="00651D9C" w:rsidP="00651D9C">
      <w:pPr>
        <w:pStyle w:val="ListParagraph"/>
        <w:numPr>
          <w:ilvl w:val="0"/>
          <w:numId w:val="21"/>
        </w:numPr>
        <w:rPr>
          <w:rFonts w:cs="Arial"/>
          <w:b/>
          <w:sz w:val="20"/>
          <w:szCs w:val="20"/>
        </w:rPr>
      </w:pPr>
      <w:r w:rsidRPr="00651D9C">
        <w:rPr>
          <w:rFonts w:cs="Arial"/>
          <w:sz w:val="20"/>
          <w:szCs w:val="20"/>
        </w:rPr>
        <w:t>Participate in managing fees budget in accordance with regional conventions and protocols, effectively manage and administer same through the entire life of a project.</w:t>
      </w:r>
    </w:p>
    <w:p w14:paraId="17DCEF60" w14:textId="77777777" w:rsidR="00651D9C" w:rsidRPr="00651D9C" w:rsidRDefault="00651D9C" w:rsidP="00651D9C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Prepare, submit and secure Building Regulations Approvals for developments.</w:t>
      </w:r>
    </w:p>
    <w:p w14:paraId="11D7EFDF" w14:textId="77777777" w:rsidR="00651D9C" w:rsidRPr="00651D9C" w:rsidRDefault="00651D9C" w:rsidP="00651D9C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Clear all Building Regulation conditions to ensure CML’s can be delivered in line with Regional targets and budget.</w:t>
      </w:r>
    </w:p>
    <w:p w14:paraId="241A081E" w14:textId="77777777" w:rsidR="00651D9C" w:rsidRPr="00651D9C" w:rsidRDefault="00651D9C" w:rsidP="00651D9C">
      <w:pPr>
        <w:pStyle w:val="ListParagraph"/>
        <w:numPr>
          <w:ilvl w:val="0"/>
          <w:numId w:val="22"/>
        </w:numPr>
        <w:rPr>
          <w:rFonts w:cs="Arial"/>
          <w:b/>
          <w:sz w:val="20"/>
          <w:szCs w:val="20"/>
        </w:rPr>
      </w:pPr>
      <w:r w:rsidRPr="00651D9C">
        <w:rPr>
          <w:rFonts w:cs="Arial"/>
          <w:sz w:val="20"/>
          <w:szCs w:val="20"/>
        </w:rPr>
        <w:t>Maintain a good understanding of environmental/ecological constraints to development and ensure that appropriate mitigation is undertaken to allow development to proceed in line with Regional Programme.</w:t>
      </w:r>
    </w:p>
    <w:p w14:paraId="19663848" w14:textId="77777777" w:rsidR="00651D9C" w:rsidRPr="00651D9C" w:rsidRDefault="00651D9C" w:rsidP="00651D9C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Arrange for the preparation of all working drawing requirements –residential and non-residential uses - and supporting information for issue to Commercial Department for tendering purposes in line with agreed Programme, utilising external consultants where appropriate.</w:t>
      </w:r>
    </w:p>
    <w:p w14:paraId="0189D230" w14:textId="77777777" w:rsidR="00651D9C" w:rsidRPr="00651D9C" w:rsidRDefault="00651D9C" w:rsidP="00651D9C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Undertake detailed assessment and approval of all supporting suppliers and manufacturer’s information, including renewable energy requirements.</w:t>
      </w:r>
    </w:p>
    <w:p w14:paraId="1F513F7A" w14:textId="77777777" w:rsidR="00651D9C" w:rsidRPr="00651D9C" w:rsidRDefault="00651D9C" w:rsidP="00651D9C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Obtain all assessments and ensure compliance with HQI, Lifetime Homes, Building for Life, DQS etc.</w:t>
      </w:r>
    </w:p>
    <w:p w14:paraId="0AFCDC1A" w14:textId="77777777" w:rsidR="00651D9C" w:rsidRPr="00651D9C" w:rsidRDefault="00651D9C" w:rsidP="00651D9C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Ensure structural assessment of all house type drawings is undertaken by an approved consultant.</w:t>
      </w:r>
    </w:p>
    <w:p w14:paraId="219499F1" w14:textId="77777777" w:rsidR="00651D9C" w:rsidRPr="00651D9C" w:rsidRDefault="00651D9C" w:rsidP="00651D9C">
      <w:pPr>
        <w:numPr>
          <w:ilvl w:val="0"/>
          <w:numId w:val="23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Review and comment on technical content of all sales literature to ensure compliance with working drawings and issue information to sales to meet requirements of Consumer Code.</w:t>
      </w:r>
    </w:p>
    <w:p w14:paraId="5CE26F21" w14:textId="77777777" w:rsidR="00651D9C" w:rsidRPr="00651D9C" w:rsidRDefault="00651D9C" w:rsidP="00651D9C">
      <w:pPr>
        <w:pStyle w:val="ListParagraph"/>
        <w:numPr>
          <w:ilvl w:val="0"/>
          <w:numId w:val="23"/>
        </w:numPr>
        <w:rPr>
          <w:rFonts w:cs="Arial"/>
          <w:b/>
          <w:sz w:val="20"/>
          <w:szCs w:val="20"/>
        </w:rPr>
      </w:pPr>
      <w:r w:rsidRPr="00651D9C">
        <w:rPr>
          <w:rFonts w:cs="Arial"/>
          <w:sz w:val="20"/>
          <w:szCs w:val="20"/>
        </w:rPr>
        <w:t>Accuracy of issue and working to tight deadlines and programmes is essential.</w:t>
      </w:r>
    </w:p>
    <w:p w14:paraId="66CF2D8A" w14:textId="1B3E7D22" w:rsidR="00651D9C" w:rsidRPr="00651D9C" w:rsidRDefault="00651D9C" w:rsidP="005E5F8E">
      <w:pPr>
        <w:pStyle w:val="ListParagraph"/>
        <w:numPr>
          <w:ilvl w:val="0"/>
          <w:numId w:val="24"/>
        </w:numPr>
        <w:rPr>
          <w:rFonts w:cs="Arial"/>
          <w:b/>
          <w:sz w:val="20"/>
          <w:szCs w:val="20"/>
        </w:rPr>
      </w:pPr>
      <w:r w:rsidRPr="00651D9C">
        <w:rPr>
          <w:rFonts w:cs="Arial"/>
          <w:sz w:val="20"/>
          <w:szCs w:val="20"/>
        </w:rPr>
        <w:t>As a priority, deal with the resolution of site queries in close conjunction with the Project Manager and liaise with Site Manager/Sales Executive to ensure continuity of build progress/sales progress.</w:t>
      </w:r>
    </w:p>
    <w:p w14:paraId="29931DB2" w14:textId="77777777" w:rsidR="00651D9C" w:rsidRPr="00651D9C" w:rsidRDefault="00651D9C" w:rsidP="00651D9C">
      <w:pPr>
        <w:pStyle w:val="bullet2"/>
        <w:numPr>
          <w:ilvl w:val="0"/>
          <w:numId w:val="25"/>
        </w:numPr>
        <w:rPr>
          <w:rFonts w:ascii="Calibri" w:hAnsi="Calibri" w:cs="Arial"/>
          <w:sz w:val="20"/>
        </w:rPr>
      </w:pPr>
      <w:r w:rsidRPr="00651D9C">
        <w:rPr>
          <w:rFonts w:ascii="Calibri" w:hAnsi="Calibri" w:cs="Arial"/>
          <w:sz w:val="20"/>
        </w:rPr>
        <w:t>Attend all site based and Head Office Development Meetings as necessary.</w:t>
      </w:r>
    </w:p>
    <w:p w14:paraId="0BE6FC06" w14:textId="77777777" w:rsidR="00651D9C" w:rsidRPr="00651D9C" w:rsidRDefault="00651D9C" w:rsidP="00651D9C">
      <w:pPr>
        <w:pStyle w:val="bullet2"/>
        <w:numPr>
          <w:ilvl w:val="0"/>
          <w:numId w:val="25"/>
        </w:numPr>
        <w:rPr>
          <w:rFonts w:ascii="Calibri" w:hAnsi="Calibri" w:cs="Arial"/>
          <w:sz w:val="20"/>
        </w:rPr>
      </w:pPr>
      <w:r w:rsidRPr="00651D9C">
        <w:rPr>
          <w:rFonts w:ascii="Calibri" w:hAnsi="Calibri" w:cs="Arial"/>
          <w:sz w:val="20"/>
        </w:rPr>
        <w:t xml:space="preserve">Attend and participate in running design team meetings and follow up actions specified. </w:t>
      </w:r>
    </w:p>
    <w:p w14:paraId="5B6D6A96" w14:textId="77777777" w:rsidR="00651D9C" w:rsidRPr="00651D9C" w:rsidRDefault="00651D9C" w:rsidP="00651D9C">
      <w:pPr>
        <w:numPr>
          <w:ilvl w:val="0"/>
          <w:numId w:val="25"/>
        </w:numPr>
        <w:rPr>
          <w:rFonts w:ascii="Calibri" w:hAnsi="Calibri" w:cs="Arial"/>
          <w:sz w:val="20"/>
          <w:szCs w:val="20"/>
        </w:rPr>
      </w:pPr>
      <w:r w:rsidRPr="00651D9C">
        <w:rPr>
          <w:rFonts w:ascii="Calibri" w:hAnsi="Calibri" w:cs="Arial"/>
          <w:sz w:val="20"/>
          <w:szCs w:val="20"/>
        </w:rPr>
        <w:t>Input into health, safety and environmental check lists including house type risk assessments.</w:t>
      </w:r>
    </w:p>
    <w:p w14:paraId="547A17C1" w14:textId="77777777" w:rsidR="00651D9C" w:rsidRPr="00651D9C" w:rsidRDefault="00651D9C" w:rsidP="00651D9C">
      <w:pPr>
        <w:pStyle w:val="bullet2"/>
        <w:numPr>
          <w:ilvl w:val="0"/>
          <w:numId w:val="25"/>
        </w:numPr>
        <w:rPr>
          <w:rFonts w:ascii="Calibri" w:hAnsi="Calibri" w:cs="Arial"/>
          <w:sz w:val="20"/>
        </w:rPr>
      </w:pPr>
      <w:r w:rsidRPr="00651D9C">
        <w:rPr>
          <w:rFonts w:ascii="Calibri" w:hAnsi="Calibri"/>
          <w:sz w:val="20"/>
        </w:rPr>
        <w:t xml:space="preserve">Attend progress meetings with Housing Associations and other non-residential land uses and ensure appropriate information is provided </w:t>
      </w:r>
      <w:r w:rsidRPr="00651D9C">
        <w:rPr>
          <w:rFonts w:ascii="Calibri" w:hAnsi="Calibri" w:cs="Arial"/>
          <w:sz w:val="20"/>
        </w:rPr>
        <w:t>to allow planning and contractual requirements to be met.</w:t>
      </w:r>
    </w:p>
    <w:p w14:paraId="6AEE33AF" w14:textId="77777777" w:rsidR="00651D9C" w:rsidRPr="00651D9C" w:rsidRDefault="00651D9C" w:rsidP="00651D9C">
      <w:pPr>
        <w:pStyle w:val="ListParagraph"/>
        <w:numPr>
          <w:ilvl w:val="0"/>
          <w:numId w:val="25"/>
        </w:numPr>
        <w:rPr>
          <w:rFonts w:cs="Arial"/>
          <w:b/>
          <w:sz w:val="20"/>
          <w:szCs w:val="20"/>
        </w:rPr>
      </w:pPr>
      <w:r w:rsidRPr="00651D9C">
        <w:rPr>
          <w:rFonts w:cs="Arial"/>
          <w:sz w:val="20"/>
          <w:szCs w:val="20"/>
        </w:rPr>
        <w:t>Produce any home user guide information required by housing association.</w:t>
      </w:r>
    </w:p>
    <w:p w14:paraId="3763A16E" w14:textId="1D09ABE5" w:rsidR="00003104" w:rsidRDefault="00003104" w:rsidP="00651D9C">
      <w:pPr>
        <w:pStyle w:val="ListParagraph"/>
        <w:rPr>
          <w:color w:val="262626"/>
          <w:sz w:val="20"/>
          <w:szCs w:val="20"/>
          <w:lang w:val="en-US"/>
        </w:rPr>
      </w:pPr>
    </w:p>
    <w:p w14:paraId="17143188" w14:textId="7CBCF0DD" w:rsidR="00651D9C" w:rsidRDefault="00651D9C" w:rsidP="00651D9C">
      <w:pPr>
        <w:pStyle w:val="ListParagraph"/>
        <w:rPr>
          <w:color w:val="262626"/>
          <w:sz w:val="20"/>
          <w:szCs w:val="20"/>
          <w:lang w:val="en-US"/>
        </w:rPr>
      </w:pPr>
    </w:p>
    <w:p w14:paraId="777152E8" w14:textId="77777777" w:rsidR="00651D9C" w:rsidRPr="00651D9C" w:rsidRDefault="00651D9C" w:rsidP="00651D9C">
      <w:pPr>
        <w:pStyle w:val="ListParagraph"/>
        <w:rPr>
          <w:color w:val="262626"/>
          <w:sz w:val="20"/>
          <w:szCs w:val="20"/>
          <w:lang w:val="en-US"/>
        </w:rPr>
      </w:pPr>
    </w:p>
    <w:p w14:paraId="6E2621EE" w14:textId="7B27F43B" w:rsidR="00E654BF" w:rsidRPr="005545D6" w:rsidRDefault="00E654BF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lastRenderedPageBreak/>
        <w:t>The Person:</w:t>
      </w:r>
    </w:p>
    <w:p w14:paraId="738F0FBD" w14:textId="16007CCD" w:rsidR="006E4A6E" w:rsidRDefault="006E4A6E" w:rsidP="00B85D53">
      <w:pPr>
        <w:rPr>
          <w:rFonts w:asciiTheme="minorHAnsi" w:eastAsia="Calibri" w:hAnsiTheme="minorHAnsi"/>
          <w:sz w:val="20"/>
          <w:szCs w:val="20"/>
          <w:lang w:eastAsia="en-GB"/>
        </w:rPr>
      </w:pPr>
    </w:p>
    <w:p w14:paraId="06D66AC6" w14:textId="6CD6C706" w:rsidR="00651D9C" w:rsidRPr="00651D9C" w:rsidRDefault="00651D9C" w:rsidP="004744AD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651D9C">
        <w:rPr>
          <w:sz w:val="20"/>
          <w:szCs w:val="20"/>
        </w:rPr>
        <w:t>Good strong knowledge of the full development/ technical process. Previous experience as either a Technical Coordinator or Technical Manager within a development organization preferred</w:t>
      </w:r>
      <w:r w:rsidRPr="00651D9C">
        <w:rPr>
          <w:rFonts w:asciiTheme="minorHAnsi" w:hAnsiTheme="minorHAnsi"/>
          <w:sz w:val="20"/>
          <w:szCs w:val="20"/>
        </w:rPr>
        <w:t xml:space="preserve"> </w:t>
      </w:r>
    </w:p>
    <w:p w14:paraId="6856E87B" w14:textId="0E3F2EE7" w:rsidR="00651D9C" w:rsidRDefault="00651D9C" w:rsidP="00651D9C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651D9C">
        <w:rPr>
          <w:rFonts w:cs="Arial"/>
          <w:sz w:val="20"/>
          <w:szCs w:val="20"/>
        </w:rPr>
        <w:t>Ability to work within tight deadlines and to programme accurately</w:t>
      </w:r>
      <w:r w:rsidRPr="00651D9C">
        <w:rPr>
          <w:rFonts w:asciiTheme="minorHAnsi" w:hAnsiTheme="minorHAnsi"/>
          <w:sz w:val="20"/>
          <w:szCs w:val="20"/>
        </w:rPr>
        <w:t xml:space="preserve"> </w:t>
      </w:r>
    </w:p>
    <w:p w14:paraId="180EF3D8" w14:textId="2ACF34C8" w:rsidR="00651D9C" w:rsidRPr="00651D9C" w:rsidRDefault="00651D9C" w:rsidP="00992333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651D9C">
        <w:rPr>
          <w:sz w:val="20"/>
          <w:szCs w:val="20"/>
        </w:rPr>
        <w:t>Ability to work under own initiative</w:t>
      </w:r>
      <w:r w:rsidRPr="00651D9C">
        <w:rPr>
          <w:rFonts w:asciiTheme="minorHAnsi" w:hAnsiTheme="minorHAnsi"/>
          <w:sz w:val="20"/>
          <w:szCs w:val="20"/>
        </w:rPr>
        <w:t xml:space="preserve"> </w:t>
      </w:r>
    </w:p>
    <w:p w14:paraId="7BFB9D7F" w14:textId="77777777" w:rsidR="00651D9C" w:rsidRPr="00651D9C" w:rsidRDefault="00651D9C" w:rsidP="00642A51">
      <w:pPr>
        <w:pStyle w:val="ListParagraph"/>
        <w:numPr>
          <w:ilvl w:val="0"/>
          <w:numId w:val="18"/>
        </w:numPr>
        <w:jc w:val="both"/>
        <w:rPr>
          <w:rFonts w:cs="Arial"/>
          <w:sz w:val="20"/>
          <w:szCs w:val="20"/>
          <w:shd w:val="clear" w:color="auto" w:fill="FFFFFF"/>
          <w:lang w:val="en-US"/>
        </w:rPr>
      </w:pPr>
      <w:r w:rsidRPr="00651D9C">
        <w:rPr>
          <w:rFonts w:cs="Arial"/>
          <w:sz w:val="20"/>
          <w:szCs w:val="20"/>
        </w:rPr>
        <w:t>Excellent communication skills and team work</w:t>
      </w:r>
    </w:p>
    <w:p w14:paraId="2F2E46EF" w14:textId="7A1B14D8" w:rsidR="00651D9C" w:rsidRPr="00651D9C" w:rsidRDefault="00651D9C" w:rsidP="00642A51">
      <w:pPr>
        <w:pStyle w:val="ListParagraph"/>
        <w:numPr>
          <w:ilvl w:val="0"/>
          <w:numId w:val="18"/>
        </w:numPr>
        <w:jc w:val="both"/>
        <w:rPr>
          <w:rFonts w:cs="Arial"/>
          <w:sz w:val="20"/>
          <w:szCs w:val="20"/>
          <w:shd w:val="clear" w:color="auto" w:fill="FFFFFF"/>
          <w:lang w:val="en-US"/>
        </w:rPr>
      </w:pPr>
      <w:r w:rsidRPr="00651D9C">
        <w:rPr>
          <w:rFonts w:cs="Arial"/>
          <w:sz w:val="20"/>
          <w:szCs w:val="20"/>
        </w:rPr>
        <w:t>Ability to manage external consultant team and ensure all deadlines are met</w:t>
      </w:r>
    </w:p>
    <w:p w14:paraId="37C8FA5B" w14:textId="16885E63" w:rsidR="004744AD" w:rsidRPr="00651D9C" w:rsidRDefault="004744AD" w:rsidP="00651D9C">
      <w:pPr>
        <w:rPr>
          <w:rFonts w:asciiTheme="minorHAnsi" w:eastAsia="Calibri" w:hAnsiTheme="minorHAnsi"/>
          <w:sz w:val="20"/>
          <w:szCs w:val="20"/>
        </w:rPr>
      </w:pPr>
    </w:p>
    <w:p w14:paraId="6E2621F3" w14:textId="77777777" w:rsidR="00E654BF" w:rsidRPr="005545D6" w:rsidRDefault="00E654BF" w:rsidP="00B85D53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6E2621F4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5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6E2621F6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7" w14:textId="77777777" w:rsidR="00E654BF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6E2621F8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9" w14:textId="77777777" w:rsidR="005C2115" w:rsidRPr="005545D6" w:rsidRDefault="00E654BF" w:rsidP="00130939">
      <w:pPr>
        <w:rPr>
          <w:rFonts w:asciiTheme="minorHAnsi" w:eastAsia="Calibri" w:hAnsiTheme="minorHAnsi"/>
          <w:sz w:val="20"/>
          <w:szCs w:val="20"/>
        </w:rPr>
      </w:pPr>
      <w:r w:rsidRPr="005545D6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6E2621FA" w14:textId="77777777" w:rsidR="007B3A4F" w:rsidRPr="005545D6" w:rsidRDefault="007B3A4F" w:rsidP="00130939">
      <w:pPr>
        <w:rPr>
          <w:rFonts w:asciiTheme="minorHAnsi" w:eastAsia="Calibri" w:hAnsiTheme="minorHAnsi"/>
          <w:sz w:val="20"/>
          <w:szCs w:val="20"/>
        </w:rPr>
      </w:pPr>
    </w:p>
    <w:p w14:paraId="6E2621FB" w14:textId="77777777" w:rsidR="002775EC" w:rsidRPr="005545D6" w:rsidRDefault="002775EC" w:rsidP="00130939">
      <w:pPr>
        <w:rPr>
          <w:rFonts w:asciiTheme="minorHAnsi" w:eastAsia="Calibri" w:hAnsiTheme="minorHAnsi"/>
          <w:b/>
          <w:sz w:val="20"/>
          <w:szCs w:val="20"/>
        </w:rPr>
      </w:pPr>
      <w:r w:rsidRPr="005545D6">
        <w:rPr>
          <w:rFonts w:asciiTheme="minorHAnsi" w:eastAsia="Calibri" w:hAnsiTheme="minorHAnsi"/>
          <w:b/>
          <w:sz w:val="20"/>
          <w:szCs w:val="20"/>
        </w:rPr>
        <w:t>Internal applicants – Please ensure you inform your Line Manager before applying</w:t>
      </w:r>
    </w:p>
    <w:p w14:paraId="6E2621FC" w14:textId="77777777" w:rsidR="005545D6" w:rsidRPr="005545D6" w:rsidRDefault="005545D6" w:rsidP="00130939">
      <w:pPr>
        <w:rPr>
          <w:rFonts w:asciiTheme="minorHAnsi" w:eastAsia="Calibri" w:hAnsiTheme="minorHAnsi"/>
          <w:sz w:val="20"/>
          <w:szCs w:val="20"/>
        </w:rPr>
      </w:pPr>
      <w:bookmarkStart w:id="0" w:name="_GoBack"/>
      <w:bookmarkEnd w:id="0"/>
    </w:p>
    <w:sectPr w:rsidR="005545D6" w:rsidRPr="005545D6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E01E" w14:textId="77777777" w:rsidR="00AB10C5" w:rsidRDefault="00AB10C5">
      <w:r>
        <w:separator/>
      </w:r>
    </w:p>
  </w:endnote>
  <w:endnote w:type="continuationSeparator" w:id="0">
    <w:p w14:paraId="748909FE" w14:textId="77777777" w:rsidR="00AB10C5" w:rsidRDefault="00AB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4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20AE" w14:textId="77777777" w:rsidR="00AB10C5" w:rsidRDefault="00AB10C5">
      <w:r>
        <w:separator/>
      </w:r>
    </w:p>
  </w:footnote>
  <w:footnote w:type="continuationSeparator" w:id="0">
    <w:p w14:paraId="762EEAB6" w14:textId="77777777" w:rsidR="00AB10C5" w:rsidRDefault="00AB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201" w14:textId="77777777"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E262205" wp14:editId="6E262206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E26220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E262203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3F2"/>
    <w:multiLevelType w:val="hybridMultilevel"/>
    <w:tmpl w:val="F708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78C"/>
    <w:multiLevelType w:val="hybridMultilevel"/>
    <w:tmpl w:val="5474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113"/>
    <w:multiLevelType w:val="hybridMultilevel"/>
    <w:tmpl w:val="49E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BF9"/>
    <w:multiLevelType w:val="hybridMultilevel"/>
    <w:tmpl w:val="2C2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6A0A"/>
    <w:multiLevelType w:val="hybridMultilevel"/>
    <w:tmpl w:val="8B9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454F"/>
    <w:multiLevelType w:val="hybridMultilevel"/>
    <w:tmpl w:val="75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6A8"/>
    <w:multiLevelType w:val="hybridMultilevel"/>
    <w:tmpl w:val="9DD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DF6"/>
    <w:multiLevelType w:val="hybridMultilevel"/>
    <w:tmpl w:val="E3280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5D2"/>
    <w:multiLevelType w:val="hybridMultilevel"/>
    <w:tmpl w:val="BA6C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7FB"/>
    <w:multiLevelType w:val="hybridMultilevel"/>
    <w:tmpl w:val="59B8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33E7"/>
    <w:multiLevelType w:val="hybridMultilevel"/>
    <w:tmpl w:val="DCE24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C7578"/>
    <w:multiLevelType w:val="multilevel"/>
    <w:tmpl w:val="858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67AF2"/>
    <w:multiLevelType w:val="hybridMultilevel"/>
    <w:tmpl w:val="F870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7D4D"/>
    <w:multiLevelType w:val="hybridMultilevel"/>
    <w:tmpl w:val="74961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86E3D"/>
    <w:multiLevelType w:val="hybridMultilevel"/>
    <w:tmpl w:val="E9028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B5A48"/>
    <w:multiLevelType w:val="hybridMultilevel"/>
    <w:tmpl w:val="A7AC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5853"/>
    <w:multiLevelType w:val="hybridMultilevel"/>
    <w:tmpl w:val="683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4725"/>
    <w:multiLevelType w:val="hybridMultilevel"/>
    <w:tmpl w:val="372A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22E"/>
    <w:multiLevelType w:val="hybridMultilevel"/>
    <w:tmpl w:val="FD4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873A6"/>
    <w:multiLevelType w:val="hybridMultilevel"/>
    <w:tmpl w:val="0AB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96D37"/>
    <w:multiLevelType w:val="hybridMultilevel"/>
    <w:tmpl w:val="4788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00E8"/>
    <w:multiLevelType w:val="hybridMultilevel"/>
    <w:tmpl w:val="C15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45575"/>
    <w:multiLevelType w:val="hybridMultilevel"/>
    <w:tmpl w:val="6F46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EC"/>
    <w:multiLevelType w:val="hybridMultilevel"/>
    <w:tmpl w:val="B422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6A2D"/>
    <w:multiLevelType w:val="hybridMultilevel"/>
    <w:tmpl w:val="3B6CF8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3"/>
  </w:num>
  <w:num w:numId="5">
    <w:abstractNumId w:val="21"/>
  </w:num>
  <w:num w:numId="6">
    <w:abstractNumId w:val="1"/>
  </w:num>
  <w:num w:numId="7">
    <w:abstractNumId w:val="19"/>
  </w:num>
  <w:num w:numId="8">
    <w:abstractNumId w:val="18"/>
  </w:num>
  <w:num w:numId="9">
    <w:abstractNumId w:val="17"/>
  </w:num>
  <w:num w:numId="10">
    <w:abstractNumId w:val="20"/>
  </w:num>
  <w:num w:numId="11">
    <w:abstractNumId w:val="10"/>
  </w:num>
  <w:num w:numId="12">
    <w:abstractNumId w:val="5"/>
  </w:num>
  <w:num w:numId="13">
    <w:abstractNumId w:val="24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  <w:num w:numId="21">
    <w:abstractNumId w:val="11"/>
  </w:num>
  <w:num w:numId="22">
    <w:abstractNumId w:val="15"/>
  </w:num>
  <w:num w:numId="23">
    <w:abstractNumId w:val="7"/>
  </w:num>
  <w:num w:numId="24">
    <w:abstractNumId w:val="14"/>
  </w:num>
  <w:num w:numId="25">
    <w:abstractNumId w:val="25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3104"/>
    <w:rsid w:val="00004984"/>
    <w:rsid w:val="00035418"/>
    <w:rsid w:val="00037868"/>
    <w:rsid w:val="000427EC"/>
    <w:rsid w:val="000B363A"/>
    <w:rsid w:val="000B541E"/>
    <w:rsid w:val="000C05ED"/>
    <w:rsid w:val="000D6F59"/>
    <w:rsid w:val="000F18EC"/>
    <w:rsid w:val="000F2E7B"/>
    <w:rsid w:val="0010370B"/>
    <w:rsid w:val="001102F3"/>
    <w:rsid w:val="001265E9"/>
    <w:rsid w:val="0013093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775EC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1720D"/>
    <w:rsid w:val="00422B24"/>
    <w:rsid w:val="004744AD"/>
    <w:rsid w:val="004B5135"/>
    <w:rsid w:val="004F2272"/>
    <w:rsid w:val="004F3F97"/>
    <w:rsid w:val="005072CC"/>
    <w:rsid w:val="00517CEE"/>
    <w:rsid w:val="005244CD"/>
    <w:rsid w:val="00544400"/>
    <w:rsid w:val="005465CA"/>
    <w:rsid w:val="005545D6"/>
    <w:rsid w:val="0057345B"/>
    <w:rsid w:val="005B07FB"/>
    <w:rsid w:val="005C2115"/>
    <w:rsid w:val="005C7A61"/>
    <w:rsid w:val="005F2668"/>
    <w:rsid w:val="00605ACB"/>
    <w:rsid w:val="006279E0"/>
    <w:rsid w:val="006417C2"/>
    <w:rsid w:val="00651D9C"/>
    <w:rsid w:val="00687B42"/>
    <w:rsid w:val="00696FE1"/>
    <w:rsid w:val="006B2584"/>
    <w:rsid w:val="006B304F"/>
    <w:rsid w:val="006E4A6E"/>
    <w:rsid w:val="006F0181"/>
    <w:rsid w:val="006F299A"/>
    <w:rsid w:val="0071195A"/>
    <w:rsid w:val="0071735B"/>
    <w:rsid w:val="00720BC8"/>
    <w:rsid w:val="00733F28"/>
    <w:rsid w:val="00762997"/>
    <w:rsid w:val="00796571"/>
    <w:rsid w:val="007B3A4F"/>
    <w:rsid w:val="007C4138"/>
    <w:rsid w:val="007D561B"/>
    <w:rsid w:val="007E1D91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214A9"/>
    <w:rsid w:val="00936FE8"/>
    <w:rsid w:val="009878B1"/>
    <w:rsid w:val="009A277A"/>
    <w:rsid w:val="009A2A83"/>
    <w:rsid w:val="009A73EB"/>
    <w:rsid w:val="009A7599"/>
    <w:rsid w:val="009B422A"/>
    <w:rsid w:val="009D0B11"/>
    <w:rsid w:val="00A31A16"/>
    <w:rsid w:val="00A3311A"/>
    <w:rsid w:val="00A929CF"/>
    <w:rsid w:val="00A93059"/>
    <w:rsid w:val="00AA563C"/>
    <w:rsid w:val="00AB10C5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5D53"/>
    <w:rsid w:val="00B9191F"/>
    <w:rsid w:val="00B93651"/>
    <w:rsid w:val="00BA7234"/>
    <w:rsid w:val="00BA78DA"/>
    <w:rsid w:val="00BB3293"/>
    <w:rsid w:val="00BE53A9"/>
    <w:rsid w:val="00BE5DA8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4ED6"/>
    <w:rsid w:val="00D25461"/>
    <w:rsid w:val="00D76242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21C8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2621D7"/>
  <w15:docId w15:val="{3552DF9F-C7A6-418B-9C9B-F1C1378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563C"/>
    <w:rPr>
      <w:color w:val="0000FF"/>
      <w:u w:val="single"/>
    </w:rPr>
  </w:style>
  <w:style w:type="character" w:styleId="Emphasis">
    <w:name w:val="Emphasis"/>
    <w:basedOn w:val="DefaultParagraphFont"/>
    <w:qFormat/>
    <w:rsid w:val="0041720D"/>
    <w:rPr>
      <w:i/>
      <w:iCs/>
    </w:rPr>
  </w:style>
  <w:style w:type="paragraph" w:customStyle="1" w:styleId="bullet2">
    <w:name w:val="bullet2"/>
    <w:basedOn w:val="Normal"/>
    <w:rsid w:val="00651D9C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4A31-2A71-4DE1-90DD-D522C6E8D31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979755-4CB6-489E-A900-E858FA3C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13BBE-CAC4-4906-8A69-545E00AA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ADBD5-C906-4354-B9FB-4599155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Pires - TW Head Office</cp:lastModifiedBy>
  <cp:revision>3</cp:revision>
  <cp:lastPrinted>2013-04-02T08:01:00Z</cp:lastPrinted>
  <dcterms:created xsi:type="dcterms:W3CDTF">2017-09-18T15:17:00Z</dcterms:created>
  <dcterms:modified xsi:type="dcterms:W3CDTF">2017-09-18T15:25:00Z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