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653487" w:rsidRDefault="00AF1AE3" w:rsidP="001265E9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653487">
        <w:rPr>
          <w:rFonts w:asciiTheme="minorHAnsi" w:hAnsiTheme="minorHAnsi" w:cs="Arial"/>
          <w:color w:val="FF0000"/>
          <w:sz w:val="18"/>
          <w:szCs w:val="18"/>
        </w:rPr>
        <w:t>Key facts</w:t>
      </w:r>
    </w:p>
    <w:p w:rsidR="00DD5DD6" w:rsidRPr="00653487" w:rsidRDefault="00DD5DD6" w:rsidP="001265E9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653487" w:rsidRPr="00653487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653487" w:rsidRPr="00653487" w:rsidRDefault="00653487" w:rsidP="001265E9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53487">
              <w:rPr>
                <w:rFonts w:asciiTheme="minorHAnsi" w:hAnsiTheme="minorHAnsi" w:cs="Arial"/>
                <w:sz w:val="18"/>
                <w:szCs w:val="18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653487" w:rsidRPr="00653487" w:rsidRDefault="00653487" w:rsidP="00A62A29">
            <w:pPr>
              <w:pStyle w:val="Heading7"/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</w:pPr>
            <w:bookmarkStart w:id="0" w:name="_GoBack"/>
            <w:r w:rsidRPr="00653487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Assistant Strategic Land &amp; Planning Manager</w:t>
            </w:r>
            <w:bookmarkEnd w:id="0"/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653487" w:rsidRPr="00653487" w:rsidRDefault="00653487" w:rsidP="007C07F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653487">
              <w:rPr>
                <w:rFonts w:asciiTheme="minorHAnsi" w:hAnsiTheme="minorHAnsi" w:cs="Arial"/>
                <w:sz w:val="18"/>
                <w:szCs w:val="18"/>
              </w:rPr>
              <w:t>Report to: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653487" w:rsidRPr="00653487" w:rsidRDefault="00653487" w:rsidP="007C07F2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53487">
              <w:rPr>
                <w:rFonts w:asciiTheme="minorHAnsi" w:hAnsiTheme="minorHAnsi" w:cs="Arial"/>
                <w:iCs/>
                <w:sz w:val="18"/>
                <w:szCs w:val="18"/>
              </w:rPr>
              <w:t>Strategic Land Regional Director</w:t>
            </w:r>
          </w:p>
        </w:tc>
      </w:tr>
    </w:tbl>
    <w:p w:rsidR="00653487" w:rsidRDefault="00653487" w:rsidP="001265E9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AF1AE3" w:rsidRPr="00653487" w:rsidRDefault="00AF1AE3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653487">
        <w:rPr>
          <w:rFonts w:asciiTheme="minorHAnsi" w:hAnsiTheme="minorHAnsi" w:cs="Arial"/>
          <w:b/>
          <w:color w:val="FF0000"/>
          <w:sz w:val="18"/>
          <w:szCs w:val="18"/>
        </w:rPr>
        <w:t>The purpose of the role</w:t>
      </w:r>
    </w:p>
    <w:p w:rsidR="00621ED8" w:rsidRPr="00653487" w:rsidRDefault="00621ED8" w:rsidP="001265E9">
      <w:pPr>
        <w:jc w:val="both"/>
        <w:rPr>
          <w:rFonts w:asciiTheme="minorHAnsi" w:hAnsiTheme="minorHAnsi"/>
          <w:sz w:val="18"/>
          <w:szCs w:val="18"/>
        </w:rPr>
      </w:pPr>
    </w:p>
    <w:p w:rsidR="00D74334" w:rsidRPr="00653487" w:rsidRDefault="00621ED8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To</w:t>
      </w:r>
      <w:r w:rsidR="0001040B" w:rsidRPr="00653487">
        <w:rPr>
          <w:rFonts w:asciiTheme="minorHAnsi" w:hAnsiTheme="minorHAnsi"/>
          <w:sz w:val="18"/>
          <w:szCs w:val="18"/>
        </w:rPr>
        <w:t xml:space="preserve"> assist in the identification, securing</w:t>
      </w:r>
      <w:r w:rsidRPr="00653487">
        <w:rPr>
          <w:rFonts w:asciiTheme="minorHAnsi" w:hAnsiTheme="minorHAnsi"/>
          <w:sz w:val="18"/>
          <w:szCs w:val="18"/>
        </w:rPr>
        <w:t>, promot</w:t>
      </w:r>
      <w:r w:rsidR="0001040B" w:rsidRPr="00653487">
        <w:rPr>
          <w:rFonts w:asciiTheme="minorHAnsi" w:hAnsiTheme="minorHAnsi"/>
          <w:sz w:val="18"/>
          <w:szCs w:val="18"/>
        </w:rPr>
        <w:t>ion</w:t>
      </w:r>
      <w:r w:rsidRPr="00653487">
        <w:rPr>
          <w:rFonts w:asciiTheme="minorHAnsi" w:hAnsiTheme="minorHAnsi"/>
          <w:sz w:val="18"/>
          <w:szCs w:val="18"/>
        </w:rPr>
        <w:t xml:space="preserve"> and deliver</w:t>
      </w:r>
      <w:r w:rsidR="0001040B" w:rsidRPr="00653487">
        <w:rPr>
          <w:rFonts w:asciiTheme="minorHAnsi" w:hAnsiTheme="minorHAnsi"/>
          <w:sz w:val="18"/>
          <w:szCs w:val="18"/>
        </w:rPr>
        <w:t xml:space="preserve">y of </w:t>
      </w:r>
      <w:r w:rsidRPr="00653487">
        <w:rPr>
          <w:rFonts w:asciiTheme="minorHAnsi" w:hAnsiTheme="minorHAnsi"/>
          <w:sz w:val="18"/>
          <w:szCs w:val="18"/>
        </w:rPr>
        <w:t xml:space="preserve">planning consent on land with medium to longer term potential for residential development within the </w:t>
      </w:r>
      <w:r w:rsidR="00767EAA" w:rsidRPr="00653487">
        <w:rPr>
          <w:rFonts w:asciiTheme="minorHAnsi" w:hAnsiTheme="minorHAnsi"/>
          <w:sz w:val="18"/>
          <w:szCs w:val="18"/>
        </w:rPr>
        <w:t>Midlands</w:t>
      </w:r>
      <w:r w:rsidRPr="00653487">
        <w:rPr>
          <w:rFonts w:asciiTheme="minorHAnsi" w:hAnsiTheme="minorHAnsi"/>
          <w:sz w:val="18"/>
          <w:szCs w:val="18"/>
        </w:rPr>
        <w:t xml:space="preserve"> Division in accordance with the Company’s operational requirements</w:t>
      </w:r>
    </w:p>
    <w:p w:rsidR="000D091A" w:rsidRPr="00653487" w:rsidRDefault="000D091A" w:rsidP="000D091A">
      <w:pPr>
        <w:rPr>
          <w:rFonts w:asciiTheme="minorHAnsi" w:hAnsiTheme="minorHAnsi" w:cs="Arial"/>
          <w:color w:val="FF0000"/>
          <w:sz w:val="18"/>
          <w:szCs w:val="18"/>
        </w:rPr>
      </w:pPr>
    </w:p>
    <w:p w:rsidR="00AF1AE3" w:rsidRPr="00653487" w:rsidRDefault="00D2067F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653487">
        <w:rPr>
          <w:rFonts w:asciiTheme="minorHAnsi" w:hAnsiTheme="minorHAnsi" w:cs="Arial"/>
          <w:b/>
          <w:color w:val="FF0000"/>
          <w:sz w:val="18"/>
          <w:szCs w:val="18"/>
        </w:rPr>
        <w:t xml:space="preserve">Key </w:t>
      </w:r>
      <w:r w:rsidR="001265E9" w:rsidRPr="00653487">
        <w:rPr>
          <w:rFonts w:asciiTheme="minorHAnsi" w:hAnsiTheme="minorHAnsi" w:cs="Arial"/>
          <w:b/>
          <w:color w:val="FF0000"/>
          <w:sz w:val="18"/>
          <w:szCs w:val="18"/>
        </w:rPr>
        <w:t>accountabilities</w:t>
      </w:r>
    </w:p>
    <w:p w:rsidR="00D74334" w:rsidRPr="00653487" w:rsidRDefault="00D74334" w:rsidP="00D7433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621ED8" w:rsidRPr="00653487" w:rsidRDefault="00621ED8" w:rsidP="00621ED8">
      <w:pPr>
        <w:rPr>
          <w:rFonts w:asciiTheme="minorHAnsi" w:hAnsiTheme="minorHAnsi"/>
          <w:sz w:val="18"/>
          <w:szCs w:val="18"/>
        </w:rPr>
      </w:pPr>
      <w:proofErr w:type="gramStart"/>
      <w:r w:rsidRPr="00653487">
        <w:rPr>
          <w:rFonts w:asciiTheme="minorHAnsi" w:hAnsiTheme="minorHAnsi"/>
          <w:sz w:val="18"/>
          <w:szCs w:val="18"/>
        </w:rPr>
        <w:t xml:space="preserve">To directly assist the Strategic Land Regional Director </w:t>
      </w:r>
      <w:r w:rsidR="0001040B" w:rsidRPr="00653487">
        <w:rPr>
          <w:rFonts w:asciiTheme="minorHAnsi" w:hAnsiTheme="minorHAnsi"/>
          <w:sz w:val="18"/>
          <w:szCs w:val="18"/>
        </w:rPr>
        <w:t xml:space="preserve">and Strategic Land &amp; Planning Managers </w:t>
      </w:r>
      <w:r w:rsidRPr="00653487">
        <w:rPr>
          <w:rFonts w:asciiTheme="minorHAnsi" w:hAnsiTheme="minorHAnsi"/>
          <w:sz w:val="18"/>
          <w:szCs w:val="18"/>
        </w:rPr>
        <w:t>in achieving the Company’s business objectives.</w:t>
      </w:r>
      <w:proofErr w:type="gramEnd"/>
    </w:p>
    <w:p w:rsidR="00621ED8" w:rsidRPr="00653487" w:rsidRDefault="00621ED8" w:rsidP="00621ED8">
      <w:pPr>
        <w:spacing w:before="100" w:beforeAutospacing="1" w:after="100" w:afterAutospacing="1"/>
        <w:rPr>
          <w:rFonts w:asciiTheme="minorHAnsi" w:hAnsiTheme="minorHAnsi" w:cs="Arial"/>
          <w:sz w:val="18"/>
          <w:szCs w:val="18"/>
          <w:lang w:eastAsia="en-GB"/>
        </w:rPr>
      </w:pPr>
      <w:proofErr w:type="gramStart"/>
      <w:r w:rsidRPr="00653487">
        <w:rPr>
          <w:rFonts w:asciiTheme="minorHAnsi" w:hAnsiTheme="minorHAnsi" w:cs="Arial"/>
          <w:sz w:val="18"/>
          <w:szCs w:val="18"/>
          <w:lang w:eastAsia="en-GB"/>
        </w:rPr>
        <w:t xml:space="preserve">To </w:t>
      </w:r>
      <w:r w:rsidR="0001040B" w:rsidRPr="00653487">
        <w:rPr>
          <w:rFonts w:asciiTheme="minorHAnsi" w:hAnsiTheme="minorHAnsi" w:cs="Arial"/>
          <w:sz w:val="18"/>
          <w:szCs w:val="18"/>
          <w:lang w:eastAsia="en-GB"/>
        </w:rPr>
        <w:t>assist with the</w:t>
      </w:r>
      <w:r w:rsidRPr="00653487">
        <w:rPr>
          <w:rFonts w:asciiTheme="minorHAnsi" w:hAnsiTheme="minorHAnsi" w:cs="Arial"/>
          <w:sz w:val="18"/>
          <w:szCs w:val="18"/>
          <w:lang w:eastAsia="en-GB"/>
        </w:rPr>
        <w:t xml:space="preserve"> integration of strategic land assets into the Regional Business Unit (RBU).</w:t>
      </w:r>
      <w:proofErr w:type="gramEnd"/>
      <w:r w:rsidRPr="00653487">
        <w:rPr>
          <w:rFonts w:asciiTheme="minorHAnsi" w:hAnsiTheme="minorHAnsi" w:cs="Arial"/>
          <w:sz w:val="18"/>
          <w:szCs w:val="18"/>
          <w:lang w:eastAsia="en-GB"/>
        </w:rPr>
        <w:t xml:space="preserve"> </w:t>
      </w:r>
    </w:p>
    <w:p w:rsidR="00A346B1" w:rsidRPr="00653487" w:rsidRDefault="00621ED8" w:rsidP="00621ED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653487">
        <w:rPr>
          <w:rFonts w:asciiTheme="minorHAnsi" w:hAnsiTheme="minorHAnsi" w:cs="Arial"/>
          <w:sz w:val="18"/>
          <w:szCs w:val="18"/>
        </w:rPr>
        <w:t xml:space="preserve">To build and develop ongoing strong relationships at all levels with key individuals and groups of interested parties in the land acquisition and planning process e.g. Council </w:t>
      </w:r>
      <w:r w:rsidR="006346EF" w:rsidRPr="00653487">
        <w:rPr>
          <w:rFonts w:asciiTheme="minorHAnsi" w:hAnsiTheme="minorHAnsi" w:cs="Arial"/>
          <w:sz w:val="18"/>
          <w:szCs w:val="18"/>
        </w:rPr>
        <w:t xml:space="preserve">Officers, </w:t>
      </w:r>
      <w:r w:rsidRPr="00653487">
        <w:rPr>
          <w:rFonts w:asciiTheme="minorHAnsi" w:hAnsiTheme="minorHAnsi" w:cs="Arial"/>
          <w:sz w:val="18"/>
          <w:szCs w:val="18"/>
        </w:rPr>
        <w:t xml:space="preserve">Local Communities, Ward Members, Local Objectors </w:t>
      </w:r>
      <w:proofErr w:type="spellStart"/>
      <w:r w:rsidRPr="00653487">
        <w:rPr>
          <w:rFonts w:asciiTheme="minorHAnsi" w:hAnsiTheme="minorHAnsi" w:cs="Arial"/>
          <w:sz w:val="18"/>
          <w:szCs w:val="18"/>
        </w:rPr>
        <w:t>etc</w:t>
      </w:r>
      <w:proofErr w:type="spellEnd"/>
      <w:r w:rsidR="006346EF" w:rsidRPr="00653487">
        <w:rPr>
          <w:rFonts w:asciiTheme="minorHAnsi" w:hAnsiTheme="minorHAnsi" w:cs="Arial"/>
          <w:sz w:val="18"/>
          <w:szCs w:val="18"/>
        </w:rPr>
        <w:t xml:space="preserve"> along with RBU Teams, Land Owners and Land Agents</w:t>
      </w:r>
      <w:r w:rsidRPr="00653487">
        <w:rPr>
          <w:rFonts w:asciiTheme="minorHAnsi" w:hAnsiTheme="minorHAnsi" w:cs="Arial"/>
          <w:sz w:val="18"/>
          <w:szCs w:val="18"/>
        </w:rPr>
        <w:t>.</w:t>
      </w:r>
    </w:p>
    <w:p w:rsidR="00A346B1" w:rsidRPr="00653487" w:rsidRDefault="00A346B1" w:rsidP="00D7433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346B1" w:rsidRPr="00653487" w:rsidRDefault="00A346B1" w:rsidP="00A346B1">
      <w:pPr>
        <w:rPr>
          <w:rFonts w:asciiTheme="minorHAnsi" w:eastAsia="Calibri" w:hAnsiTheme="minorHAnsi" w:cs="Arial"/>
          <w:b/>
          <w:color w:val="FF0000"/>
          <w:sz w:val="18"/>
          <w:szCs w:val="18"/>
        </w:rPr>
      </w:pPr>
      <w:r w:rsidRPr="00653487">
        <w:rPr>
          <w:rFonts w:asciiTheme="minorHAnsi" w:eastAsia="Calibri" w:hAnsiTheme="minorHAnsi" w:cs="Arial"/>
          <w:b/>
          <w:color w:val="FF0000"/>
          <w:sz w:val="18"/>
          <w:szCs w:val="18"/>
        </w:rPr>
        <w:t>Regional Activities:</w:t>
      </w:r>
    </w:p>
    <w:p w:rsidR="00621ED8" w:rsidRPr="00653487" w:rsidRDefault="00621ED8" w:rsidP="00A346B1">
      <w:pPr>
        <w:rPr>
          <w:rFonts w:asciiTheme="minorHAnsi" w:eastAsia="Calibri" w:hAnsiTheme="minorHAnsi" w:cs="Arial"/>
          <w:b/>
          <w:color w:val="FF0000"/>
          <w:sz w:val="18"/>
          <w:szCs w:val="18"/>
        </w:rPr>
      </w:pPr>
    </w:p>
    <w:p w:rsidR="00A346B1" w:rsidRPr="00653487" w:rsidRDefault="00621ED8" w:rsidP="00A346B1">
      <w:pPr>
        <w:rPr>
          <w:rFonts w:asciiTheme="minorHAnsi" w:hAnsiTheme="minorHAnsi"/>
          <w:b/>
          <w:sz w:val="18"/>
          <w:szCs w:val="18"/>
        </w:rPr>
      </w:pPr>
      <w:r w:rsidRPr="00653487">
        <w:rPr>
          <w:rFonts w:asciiTheme="minorHAnsi" w:hAnsiTheme="minorHAnsi"/>
          <w:b/>
          <w:sz w:val="18"/>
          <w:szCs w:val="18"/>
        </w:rPr>
        <w:t>Identification, Acquisition and Management of Future Development Opportunities</w:t>
      </w:r>
    </w:p>
    <w:p w:rsidR="00621ED8" w:rsidRPr="00653487" w:rsidRDefault="00621ED8" w:rsidP="00A346B1">
      <w:pPr>
        <w:rPr>
          <w:rFonts w:asciiTheme="minorHAnsi" w:hAnsiTheme="minorHAnsi"/>
          <w:b/>
          <w:sz w:val="18"/>
          <w:szCs w:val="18"/>
        </w:rPr>
      </w:pPr>
    </w:p>
    <w:p w:rsidR="00621ED8" w:rsidRPr="00653487" w:rsidRDefault="00621ED8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Build and maintain strong internal and external relationships</w:t>
      </w:r>
    </w:p>
    <w:p w:rsidR="00621ED8" w:rsidRPr="00653487" w:rsidRDefault="00621ED8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Joint working and regular liaison with RBU in progression and delivery of new development opportunities</w:t>
      </w:r>
    </w:p>
    <w:p w:rsidR="00621ED8" w:rsidRPr="00653487" w:rsidRDefault="00621ED8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Ability to identify suitable opportunities to meet business strategy and regional land strategies</w:t>
      </w:r>
    </w:p>
    <w:p w:rsidR="00621ED8" w:rsidRPr="00653487" w:rsidRDefault="00621ED8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Good knowledge of the geographical area and the main players within it</w:t>
      </w:r>
    </w:p>
    <w:p w:rsidR="00621ED8" w:rsidRPr="00653487" w:rsidRDefault="0001040B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Build g</w:t>
      </w:r>
      <w:r w:rsidR="00621ED8" w:rsidRPr="00653487">
        <w:rPr>
          <w:rFonts w:asciiTheme="minorHAnsi" w:hAnsiTheme="minorHAnsi"/>
          <w:sz w:val="18"/>
          <w:szCs w:val="18"/>
        </w:rPr>
        <w:t>ood knowledge/relationships with land agents, Local Authorities and competitors</w:t>
      </w:r>
    </w:p>
    <w:p w:rsidR="00621ED8" w:rsidRPr="00653487" w:rsidRDefault="00621ED8" w:rsidP="00621ED8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 xml:space="preserve">Ability to </w:t>
      </w:r>
      <w:r w:rsidR="0001040B" w:rsidRPr="00653487">
        <w:rPr>
          <w:rFonts w:asciiTheme="minorHAnsi" w:hAnsiTheme="minorHAnsi"/>
          <w:sz w:val="18"/>
          <w:szCs w:val="18"/>
        </w:rPr>
        <w:t xml:space="preserve">assist with </w:t>
      </w:r>
      <w:r w:rsidRPr="00653487">
        <w:rPr>
          <w:rFonts w:asciiTheme="minorHAnsi" w:hAnsiTheme="minorHAnsi"/>
          <w:sz w:val="18"/>
          <w:szCs w:val="18"/>
        </w:rPr>
        <w:t>negotiat</w:t>
      </w:r>
      <w:r w:rsidR="0001040B" w:rsidRPr="00653487">
        <w:rPr>
          <w:rFonts w:asciiTheme="minorHAnsi" w:hAnsiTheme="minorHAnsi"/>
          <w:sz w:val="18"/>
          <w:szCs w:val="18"/>
        </w:rPr>
        <w:t xml:space="preserve">ions for </w:t>
      </w:r>
      <w:r w:rsidRPr="00653487">
        <w:rPr>
          <w:rFonts w:asciiTheme="minorHAnsi" w:hAnsiTheme="minorHAnsi"/>
          <w:sz w:val="18"/>
          <w:szCs w:val="18"/>
        </w:rPr>
        <w:t>margin enhancing agreements, including option agreements, conditional agreements, freehold purchase and section 75</w:t>
      </w:r>
      <w:r w:rsidR="006346EF" w:rsidRPr="00653487">
        <w:rPr>
          <w:rFonts w:asciiTheme="minorHAnsi" w:hAnsiTheme="minorHAnsi"/>
          <w:sz w:val="18"/>
          <w:szCs w:val="18"/>
        </w:rPr>
        <w:t>/106</w:t>
      </w:r>
      <w:r w:rsidRPr="00653487">
        <w:rPr>
          <w:rFonts w:asciiTheme="minorHAnsi" w:hAnsiTheme="minorHAnsi"/>
          <w:sz w:val="18"/>
          <w:szCs w:val="18"/>
        </w:rPr>
        <w:t xml:space="preserve"> agreements</w:t>
      </w:r>
    </w:p>
    <w:p w:rsidR="00621ED8" w:rsidRPr="00653487" w:rsidRDefault="00621ED8" w:rsidP="00621ED8">
      <w:pPr>
        <w:rPr>
          <w:rFonts w:asciiTheme="minorHAnsi" w:hAnsiTheme="minorHAnsi"/>
          <w:sz w:val="18"/>
          <w:szCs w:val="18"/>
        </w:rPr>
      </w:pPr>
    </w:p>
    <w:p w:rsidR="00621ED8" w:rsidRPr="00653487" w:rsidRDefault="00621ED8" w:rsidP="00621ED8">
      <w:pPr>
        <w:rPr>
          <w:rFonts w:asciiTheme="minorHAnsi" w:hAnsiTheme="minorHAnsi"/>
          <w:b/>
          <w:sz w:val="18"/>
          <w:szCs w:val="18"/>
        </w:rPr>
      </w:pPr>
      <w:r w:rsidRPr="00653487">
        <w:rPr>
          <w:rFonts w:asciiTheme="minorHAnsi" w:hAnsiTheme="minorHAnsi"/>
          <w:b/>
          <w:sz w:val="18"/>
          <w:szCs w:val="18"/>
        </w:rPr>
        <w:t>Planning System</w:t>
      </w:r>
    </w:p>
    <w:p w:rsidR="00621ED8" w:rsidRPr="00653487" w:rsidRDefault="00621ED8" w:rsidP="00621ED8">
      <w:pPr>
        <w:rPr>
          <w:rFonts w:asciiTheme="minorHAnsi" w:hAnsiTheme="minorHAnsi"/>
          <w:sz w:val="18"/>
          <w:szCs w:val="18"/>
        </w:rPr>
      </w:pPr>
    </w:p>
    <w:p w:rsidR="00621ED8" w:rsidRPr="00653487" w:rsidRDefault="0001040B" w:rsidP="00621ED8">
      <w:pPr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K</w:t>
      </w:r>
      <w:r w:rsidR="00621ED8" w:rsidRPr="00653487">
        <w:rPr>
          <w:rFonts w:asciiTheme="minorHAnsi" w:hAnsiTheme="minorHAnsi"/>
          <w:sz w:val="18"/>
          <w:szCs w:val="18"/>
        </w:rPr>
        <w:t xml:space="preserve">nowledge and clear understanding of the continually evolving planning system and its emphasis on localism and sustainability </w:t>
      </w:r>
    </w:p>
    <w:p w:rsidR="00621ED8" w:rsidRPr="00653487" w:rsidRDefault="0001040B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P</w:t>
      </w:r>
      <w:r w:rsidR="00621ED8" w:rsidRPr="00653487">
        <w:rPr>
          <w:rFonts w:asciiTheme="minorHAnsi" w:hAnsiTheme="minorHAnsi"/>
          <w:sz w:val="18"/>
          <w:szCs w:val="18"/>
        </w:rPr>
        <w:t xml:space="preserve">roject management of consultant teams </w:t>
      </w:r>
    </w:p>
    <w:p w:rsidR="00621ED8" w:rsidRPr="00653487" w:rsidRDefault="0001040B" w:rsidP="00621ED8">
      <w:pPr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Assist with the m</w:t>
      </w:r>
      <w:r w:rsidR="00621ED8" w:rsidRPr="00653487">
        <w:rPr>
          <w:rFonts w:asciiTheme="minorHAnsi" w:hAnsiTheme="minorHAnsi"/>
          <w:sz w:val="18"/>
          <w:szCs w:val="18"/>
        </w:rPr>
        <w:t>anage</w:t>
      </w:r>
      <w:r w:rsidRPr="00653487">
        <w:rPr>
          <w:rFonts w:asciiTheme="minorHAnsi" w:hAnsiTheme="minorHAnsi"/>
          <w:sz w:val="18"/>
          <w:szCs w:val="18"/>
        </w:rPr>
        <w:t xml:space="preserve">ment of </w:t>
      </w:r>
      <w:r w:rsidR="00621ED8" w:rsidRPr="00653487">
        <w:rPr>
          <w:rFonts w:asciiTheme="minorHAnsi" w:hAnsiTheme="minorHAnsi"/>
          <w:sz w:val="18"/>
          <w:szCs w:val="18"/>
        </w:rPr>
        <w:t xml:space="preserve">internal and external project programmes and delivery strategies alongside regional business units </w:t>
      </w:r>
    </w:p>
    <w:p w:rsidR="00621ED8" w:rsidRPr="00653487" w:rsidRDefault="00621ED8" w:rsidP="00621ED8">
      <w:pPr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 xml:space="preserve">Understanding the importance of viability in the negotiation and delivery of development  </w:t>
      </w:r>
    </w:p>
    <w:p w:rsidR="00653487" w:rsidRPr="00653487" w:rsidRDefault="00653487" w:rsidP="00A346B1">
      <w:pPr>
        <w:spacing w:before="120" w:after="120"/>
        <w:jc w:val="both"/>
        <w:rPr>
          <w:rFonts w:asciiTheme="minorHAnsi" w:hAnsiTheme="minorHAnsi" w:cs="Arial"/>
          <w:color w:val="CC0000"/>
          <w:sz w:val="18"/>
          <w:szCs w:val="18"/>
        </w:rPr>
      </w:pPr>
    </w:p>
    <w:p w:rsidR="00A346B1" w:rsidRPr="00653487" w:rsidRDefault="00A346B1" w:rsidP="00A346B1">
      <w:pPr>
        <w:spacing w:before="120" w:after="120"/>
        <w:jc w:val="both"/>
        <w:rPr>
          <w:rFonts w:asciiTheme="minorHAnsi" w:hAnsiTheme="minorHAnsi" w:cs="Arial"/>
          <w:color w:val="CC0000"/>
          <w:sz w:val="18"/>
          <w:szCs w:val="18"/>
        </w:rPr>
      </w:pPr>
      <w:r w:rsidRPr="00653487">
        <w:rPr>
          <w:rFonts w:asciiTheme="minorHAnsi" w:hAnsiTheme="minorHAnsi" w:cs="Arial"/>
          <w:color w:val="CC0000"/>
          <w:sz w:val="18"/>
          <w:szCs w:val="18"/>
        </w:rPr>
        <w:t>Primary network: who you will work with</w:t>
      </w:r>
    </w:p>
    <w:p w:rsidR="00733F28" w:rsidRPr="00653487" w:rsidRDefault="00733F28" w:rsidP="001265E9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2153E7" w:rsidRPr="00653487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653487" w:rsidRDefault="00AF1AE3" w:rsidP="001265E9">
            <w:pPr>
              <w:jc w:val="both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653487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653487" w:rsidRDefault="00621ED8" w:rsidP="00B96D16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53487">
              <w:rPr>
                <w:rFonts w:asciiTheme="minorHAnsi" w:hAnsiTheme="minorHAnsi" w:cs="Arial"/>
                <w:sz w:val="18"/>
                <w:szCs w:val="18"/>
              </w:rPr>
              <w:t xml:space="preserve">DMDs, MDs, </w:t>
            </w:r>
            <w:r w:rsidR="006346EF" w:rsidRPr="00653487">
              <w:rPr>
                <w:rFonts w:asciiTheme="minorHAnsi" w:hAnsiTheme="minorHAnsi" w:cs="Arial"/>
                <w:sz w:val="18"/>
                <w:szCs w:val="18"/>
              </w:rPr>
              <w:t xml:space="preserve">Functional Directors, </w:t>
            </w:r>
            <w:r w:rsidRPr="00653487">
              <w:rPr>
                <w:rFonts w:asciiTheme="minorHAnsi" w:hAnsiTheme="minorHAnsi" w:cs="Arial"/>
                <w:sz w:val="18"/>
                <w:szCs w:val="18"/>
              </w:rPr>
              <w:t>Land Managers other members of the team</w:t>
            </w:r>
          </w:p>
          <w:p w:rsidR="00621ED8" w:rsidRPr="00653487" w:rsidRDefault="00621ED8" w:rsidP="00B96D16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153E7" w:rsidRPr="00653487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653487" w:rsidRDefault="00AF1AE3" w:rsidP="001265E9">
            <w:pPr>
              <w:jc w:val="both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653487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621ED8" w:rsidRPr="00653487" w:rsidRDefault="006346EF" w:rsidP="00621ED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53487">
              <w:rPr>
                <w:rFonts w:asciiTheme="minorHAnsi" w:hAnsiTheme="minorHAnsi"/>
                <w:bCs/>
                <w:sz w:val="18"/>
                <w:szCs w:val="18"/>
              </w:rPr>
              <w:t xml:space="preserve">Land Owners, </w:t>
            </w:r>
            <w:r w:rsidR="00621ED8" w:rsidRPr="00653487">
              <w:rPr>
                <w:rFonts w:asciiTheme="minorHAnsi" w:hAnsiTheme="minorHAnsi"/>
                <w:bCs/>
                <w:sz w:val="18"/>
                <w:szCs w:val="18"/>
              </w:rPr>
              <w:t xml:space="preserve">Solicitors, Members of the Community, </w:t>
            </w:r>
            <w:r w:rsidR="00621ED8" w:rsidRPr="00653487">
              <w:rPr>
                <w:rFonts w:asciiTheme="minorHAnsi" w:hAnsiTheme="minorHAnsi" w:cs="Arial"/>
                <w:bCs/>
                <w:sz w:val="18"/>
                <w:szCs w:val="18"/>
              </w:rPr>
              <w:t>Land Agents,</w:t>
            </w:r>
            <w:r w:rsidRPr="0065348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621ED8" w:rsidRPr="0065348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Local Authorities and Consultants</w:t>
            </w:r>
          </w:p>
          <w:p w:rsidR="00AF1AE3" w:rsidRPr="00653487" w:rsidRDefault="00AF1AE3" w:rsidP="00621ED8">
            <w:pPr>
              <w:pStyle w:val="ListParagraph"/>
              <w:autoSpaceDE w:val="0"/>
              <w:autoSpaceDN w:val="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F1AE3" w:rsidRPr="00653487" w:rsidRDefault="00AF1AE3" w:rsidP="001265E9">
      <w:pPr>
        <w:jc w:val="both"/>
        <w:rPr>
          <w:rFonts w:asciiTheme="minorHAnsi" w:hAnsiTheme="minorHAnsi" w:cs="Arial"/>
          <w:sz w:val="18"/>
          <w:szCs w:val="18"/>
        </w:rPr>
      </w:pPr>
    </w:p>
    <w:p w:rsidR="00E25C00" w:rsidRPr="00653487" w:rsidRDefault="00E25C00" w:rsidP="001265E9">
      <w:pPr>
        <w:jc w:val="both"/>
        <w:rPr>
          <w:rFonts w:asciiTheme="minorHAnsi" w:hAnsiTheme="minorHAnsi" w:cs="Arial"/>
          <w:sz w:val="18"/>
          <w:szCs w:val="18"/>
        </w:rPr>
      </w:pPr>
    </w:p>
    <w:p w:rsidR="00653487" w:rsidRDefault="00653487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653487" w:rsidRDefault="00653487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653487" w:rsidRDefault="00653487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E25C00" w:rsidRDefault="00E25C00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653487">
        <w:rPr>
          <w:rFonts w:asciiTheme="minorHAnsi" w:hAnsiTheme="minorHAnsi" w:cs="Arial"/>
          <w:b/>
          <w:color w:val="FF0000"/>
          <w:sz w:val="18"/>
          <w:szCs w:val="18"/>
        </w:rPr>
        <w:lastRenderedPageBreak/>
        <w:t xml:space="preserve">Key </w:t>
      </w:r>
      <w:r w:rsidR="001265E9" w:rsidRPr="00653487">
        <w:rPr>
          <w:rFonts w:asciiTheme="minorHAnsi" w:hAnsiTheme="minorHAnsi" w:cs="Arial"/>
          <w:b/>
          <w:color w:val="FF0000"/>
          <w:sz w:val="18"/>
          <w:szCs w:val="18"/>
        </w:rPr>
        <w:t>competencies</w:t>
      </w:r>
    </w:p>
    <w:p w:rsidR="00A346B1" w:rsidRDefault="00A346B1" w:rsidP="00820334">
      <w:pPr>
        <w:pStyle w:val="bullet2"/>
        <w:ind w:left="360" w:firstLine="0"/>
        <w:rPr>
          <w:rFonts w:asciiTheme="minorHAnsi" w:hAnsiTheme="minorHAnsi" w:cs="Arial"/>
          <w:b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108" w:tblpY="215"/>
        <w:tblW w:w="87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1559"/>
      </w:tblGrid>
      <w:tr w:rsidR="00653487" w:rsidRPr="00546869" w:rsidTr="007C07F2">
        <w:tc>
          <w:tcPr>
            <w:tcW w:w="209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6869">
              <w:rPr>
                <w:rFonts w:ascii="Calibri" w:hAnsi="Calibri" w:cs="Arial"/>
                <w:b/>
                <w:sz w:val="18"/>
                <w:szCs w:val="18"/>
              </w:rPr>
              <w:t>Competency</w:t>
            </w:r>
          </w:p>
        </w:tc>
        <w:tc>
          <w:tcPr>
            <w:tcW w:w="510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6869">
              <w:rPr>
                <w:rFonts w:ascii="Calibri" w:hAnsi="Calibri" w:cs="Arial"/>
                <w:b/>
                <w:sz w:val="18"/>
                <w:szCs w:val="18"/>
              </w:rPr>
              <w:t>Indicator</w:t>
            </w:r>
          </w:p>
        </w:tc>
        <w:tc>
          <w:tcPr>
            <w:tcW w:w="1559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6869">
              <w:rPr>
                <w:rFonts w:ascii="Calibri" w:hAnsi="Calibri" w:cs="Arial"/>
                <w:b/>
                <w:sz w:val="18"/>
                <w:szCs w:val="18"/>
              </w:rPr>
              <w:t>Level</w:t>
            </w:r>
          </w:p>
        </w:tc>
      </w:tr>
      <w:tr w:rsidR="00653487" w:rsidRPr="00546869" w:rsidTr="007C07F2">
        <w:tc>
          <w:tcPr>
            <w:tcW w:w="209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6869">
              <w:rPr>
                <w:rFonts w:ascii="Calibri" w:hAnsi="Calibri" w:cs="Arial"/>
                <w:b/>
                <w:sz w:val="18"/>
                <w:szCs w:val="18"/>
              </w:rPr>
              <w:t>Communicate well and collaborate</w:t>
            </w:r>
          </w:p>
        </w:tc>
        <w:tc>
          <w:tcPr>
            <w:tcW w:w="510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Active internal and external network, adapts their communications style to suit their audience</w:t>
            </w:r>
          </w:p>
        </w:tc>
        <w:tc>
          <w:tcPr>
            <w:tcW w:w="1559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46869">
              <w:rPr>
                <w:rFonts w:ascii="Calibri" w:hAnsi="Calibri" w:cs="Arial"/>
                <w:sz w:val="18"/>
                <w:szCs w:val="18"/>
              </w:rPr>
              <w:t xml:space="preserve">Leading </w:t>
            </w:r>
            <w:r>
              <w:rPr>
                <w:rFonts w:ascii="Calibri" w:hAnsi="Calibri" w:cs="Arial"/>
                <w:sz w:val="18"/>
                <w:szCs w:val="18"/>
              </w:rPr>
              <w:t>Self</w:t>
            </w:r>
          </w:p>
        </w:tc>
      </w:tr>
      <w:tr w:rsidR="00653487" w:rsidRPr="00546869" w:rsidTr="007C07F2">
        <w:tc>
          <w:tcPr>
            <w:tcW w:w="209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6869">
              <w:rPr>
                <w:rFonts w:ascii="Calibri" w:hAnsi="Calibri" w:cs="Arial"/>
                <w:b/>
                <w:sz w:val="18"/>
                <w:szCs w:val="18"/>
              </w:rPr>
              <w:t xml:space="preserve">Be well planned and organised </w:t>
            </w:r>
          </w:p>
        </w:tc>
        <w:tc>
          <w:tcPr>
            <w:tcW w:w="510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Achieves more than others around them and influences others to deliver</w:t>
            </w:r>
          </w:p>
        </w:tc>
        <w:tc>
          <w:tcPr>
            <w:tcW w:w="1559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46869">
              <w:rPr>
                <w:rFonts w:ascii="Calibri" w:hAnsi="Calibri" w:cs="Arial"/>
                <w:sz w:val="18"/>
                <w:szCs w:val="18"/>
              </w:rPr>
              <w:t xml:space="preserve">Leading </w:t>
            </w:r>
            <w:r>
              <w:rPr>
                <w:rFonts w:ascii="Calibri" w:hAnsi="Calibri" w:cs="Arial"/>
                <w:sz w:val="18"/>
                <w:szCs w:val="18"/>
              </w:rPr>
              <w:t>Self</w:t>
            </w:r>
          </w:p>
        </w:tc>
      </w:tr>
      <w:tr w:rsidR="00653487" w:rsidRPr="00546869" w:rsidTr="007C07F2">
        <w:tc>
          <w:tcPr>
            <w:tcW w:w="209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 future focussed and drive change</w:t>
            </w:r>
            <w:r w:rsidRPr="0054686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Frequently steps back to look at the wider picture, is curious about how they and the business could be even better</w:t>
            </w:r>
          </w:p>
        </w:tc>
        <w:tc>
          <w:tcPr>
            <w:tcW w:w="1559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46869">
              <w:rPr>
                <w:rFonts w:ascii="Calibri" w:hAnsi="Calibri" w:cs="Arial"/>
                <w:sz w:val="18"/>
                <w:szCs w:val="18"/>
              </w:rPr>
              <w:t xml:space="preserve">Leading </w:t>
            </w:r>
            <w:r>
              <w:rPr>
                <w:rFonts w:ascii="Calibri" w:hAnsi="Calibri" w:cs="Arial"/>
                <w:sz w:val="18"/>
                <w:szCs w:val="18"/>
              </w:rPr>
              <w:t>Self</w:t>
            </w:r>
          </w:p>
        </w:tc>
      </w:tr>
      <w:tr w:rsidR="00653487" w:rsidRPr="00546869" w:rsidTr="007C07F2">
        <w:tc>
          <w:tcPr>
            <w:tcW w:w="209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Set clear professional standards</w:t>
            </w:r>
            <w:r w:rsidRPr="0054686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Demonstrates understanding of the behaviours and motivations of others</w:t>
            </w:r>
          </w:p>
        </w:tc>
        <w:tc>
          <w:tcPr>
            <w:tcW w:w="1559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46869">
              <w:rPr>
                <w:rFonts w:ascii="Calibri" w:hAnsi="Calibri" w:cs="Arial"/>
                <w:sz w:val="18"/>
                <w:szCs w:val="18"/>
              </w:rPr>
              <w:t xml:space="preserve">Leading </w:t>
            </w:r>
            <w:r>
              <w:rPr>
                <w:rFonts w:ascii="Calibri" w:hAnsi="Calibri" w:cs="Arial"/>
                <w:sz w:val="18"/>
                <w:szCs w:val="18"/>
              </w:rPr>
              <w:t>Self</w:t>
            </w:r>
          </w:p>
        </w:tc>
      </w:tr>
      <w:tr w:rsidR="00653487" w:rsidRPr="00546869" w:rsidTr="007C07F2">
        <w:tc>
          <w:tcPr>
            <w:tcW w:w="209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546869">
              <w:rPr>
                <w:rFonts w:ascii="Calibri" w:hAnsi="Calibri" w:cs="Arial"/>
                <w:b/>
                <w:sz w:val="18"/>
                <w:szCs w:val="18"/>
              </w:rPr>
              <w:t>Develop good relations and act with integrity</w:t>
            </w:r>
          </w:p>
        </w:tc>
        <w:tc>
          <w:tcPr>
            <w:tcW w:w="5103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Wide network of effective relationships, influences others appropriately, gives and receives feedback and acts on it</w:t>
            </w:r>
            <w:r w:rsidRPr="0054686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53487" w:rsidRPr="00546869" w:rsidRDefault="00653487" w:rsidP="007C07F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46869">
              <w:rPr>
                <w:rFonts w:ascii="Calibri" w:hAnsi="Calibri" w:cs="Arial"/>
                <w:sz w:val="18"/>
                <w:szCs w:val="18"/>
              </w:rPr>
              <w:t xml:space="preserve">Leading </w:t>
            </w:r>
            <w:r>
              <w:rPr>
                <w:rFonts w:ascii="Calibri" w:hAnsi="Calibri" w:cs="Arial"/>
                <w:sz w:val="18"/>
                <w:szCs w:val="18"/>
              </w:rPr>
              <w:t>Self</w:t>
            </w:r>
          </w:p>
        </w:tc>
      </w:tr>
    </w:tbl>
    <w:p w:rsidR="00653487" w:rsidRDefault="00653487" w:rsidP="00820334">
      <w:pPr>
        <w:pStyle w:val="bullet2"/>
        <w:ind w:left="360" w:firstLine="0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653487" w:rsidRPr="00653487" w:rsidRDefault="00653487" w:rsidP="00820334">
      <w:pPr>
        <w:pStyle w:val="bullet2"/>
        <w:ind w:left="360" w:firstLine="0"/>
        <w:rPr>
          <w:rFonts w:asciiTheme="minorHAnsi" w:hAnsiTheme="minorHAnsi"/>
          <w:sz w:val="18"/>
          <w:szCs w:val="18"/>
        </w:rPr>
      </w:pPr>
    </w:p>
    <w:p w:rsidR="00FA40F4" w:rsidRPr="00653487" w:rsidRDefault="001265E9" w:rsidP="001265E9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653487">
        <w:rPr>
          <w:rFonts w:asciiTheme="minorHAnsi" w:hAnsiTheme="minorHAnsi" w:cs="Arial"/>
          <w:b/>
          <w:color w:val="FF0000"/>
          <w:sz w:val="18"/>
          <w:szCs w:val="18"/>
        </w:rPr>
        <w:t>Key experience</w:t>
      </w:r>
    </w:p>
    <w:p w:rsidR="00B96D16" w:rsidRPr="00653487" w:rsidRDefault="00B96D16" w:rsidP="00A346B1">
      <w:pPr>
        <w:pStyle w:val="bullet2"/>
        <w:rPr>
          <w:rFonts w:asciiTheme="minorHAnsi" w:hAnsiTheme="minorHAnsi" w:cs="Arial"/>
          <w:sz w:val="18"/>
          <w:szCs w:val="18"/>
        </w:rPr>
      </w:pPr>
    </w:p>
    <w:p w:rsidR="00621ED8" w:rsidRPr="00653487" w:rsidRDefault="0001040B" w:rsidP="00621ED8">
      <w:pPr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K</w:t>
      </w:r>
      <w:r w:rsidR="00621ED8" w:rsidRPr="00653487">
        <w:rPr>
          <w:rFonts w:asciiTheme="minorHAnsi" w:hAnsiTheme="minorHAnsi"/>
          <w:sz w:val="18"/>
          <w:szCs w:val="18"/>
        </w:rPr>
        <w:t>nowledge of the planning system and legislation</w:t>
      </w:r>
    </w:p>
    <w:p w:rsidR="00621ED8" w:rsidRPr="00653487" w:rsidRDefault="0001040B" w:rsidP="00621ED8">
      <w:pPr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K</w:t>
      </w:r>
      <w:r w:rsidR="00621ED8" w:rsidRPr="00653487">
        <w:rPr>
          <w:rFonts w:asciiTheme="minorHAnsi" w:hAnsiTheme="minorHAnsi"/>
          <w:sz w:val="18"/>
          <w:szCs w:val="18"/>
        </w:rPr>
        <w:t xml:space="preserve">nowledge of the </w:t>
      </w:r>
      <w:r w:rsidR="007F457B" w:rsidRPr="00653487">
        <w:rPr>
          <w:rFonts w:asciiTheme="minorHAnsi" w:hAnsiTheme="minorHAnsi"/>
          <w:sz w:val="18"/>
          <w:szCs w:val="18"/>
        </w:rPr>
        <w:t xml:space="preserve">Midlands </w:t>
      </w:r>
      <w:r w:rsidR="00621ED8" w:rsidRPr="00653487">
        <w:rPr>
          <w:rFonts w:asciiTheme="minorHAnsi" w:hAnsiTheme="minorHAnsi"/>
          <w:sz w:val="18"/>
          <w:szCs w:val="18"/>
        </w:rPr>
        <w:t>land market</w:t>
      </w:r>
    </w:p>
    <w:p w:rsidR="00621ED8" w:rsidRPr="00653487" w:rsidRDefault="00621ED8" w:rsidP="00621ED8">
      <w:pPr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53487">
        <w:rPr>
          <w:rFonts w:asciiTheme="minorHAnsi" w:hAnsiTheme="minorHAnsi"/>
          <w:sz w:val="18"/>
          <w:szCs w:val="18"/>
        </w:rPr>
        <w:t>A track record of delivering time critical projects within programme and budget</w:t>
      </w:r>
    </w:p>
    <w:p w:rsidR="006632FE" w:rsidRPr="00653487" w:rsidRDefault="006632FE" w:rsidP="001265E9">
      <w:pPr>
        <w:jc w:val="both"/>
        <w:rPr>
          <w:rFonts w:asciiTheme="minorHAnsi" w:hAnsiTheme="minorHAnsi" w:cs="Arial"/>
          <w:sz w:val="18"/>
          <w:szCs w:val="18"/>
        </w:rPr>
      </w:pPr>
    </w:p>
    <w:p w:rsidR="00CD6936" w:rsidRPr="00653487" w:rsidRDefault="00CD6936" w:rsidP="001265E9">
      <w:pPr>
        <w:jc w:val="both"/>
        <w:rPr>
          <w:rFonts w:asciiTheme="minorHAnsi" w:hAnsiTheme="minorHAnsi" w:cs="Arial"/>
          <w:sz w:val="18"/>
          <w:szCs w:val="18"/>
        </w:rPr>
      </w:pPr>
    </w:p>
    <w:p w:rsidR="00DD5DD6" w:rsidRPr="00653487" w:rsidRDefault="00DD5DD6" w:rsidP="00DD5DD6">
      <w:pPr>
        <w:autoSpaceDE w:val="0"/>
        <w:autoSpaceDN w:val="0"/>
        <w:adjustRightInd w:val="0"/>
        <w:rPr>
          <w:rFonts w:asciiTheme="minorHAnsi" w:hAnsiTheme="minorHAnsi"/>
          <w:b/>
          <w:sz w:val="18"/>
          <w:szCs w:val="18"/>
        </w:rPr>
      </w:pPr>
      <w:r w:rsidRPr="00653487">
        <w:rPr>
          <w:rFonts w:asciiTheme="minorHAnsi" w:hAnsiTheme="minorHAnsi" w:cs="Arial"/>
          <w:b/>
          <w:sz w:val="18"/>
          <w:szCs w:val="18"/>
        </w:rPr>
        <w:t xml:space="preserve">Internal applicants – please </w:t>
      </w:r>
      <w:proofErr w:type="gramStart"/>
      <w:r w:rsidRPr="00653487">
        <w:rPr>
          <w:rFonts w:asciiTheme="minorHAnsi" w:hAnsiTheme="minorHAnsi" w:cs="Arial"/>
          <w:b/>
          <w:sz w:val="18"/>
          <w:szCs w:val="18"/>
        </w:rPr>
        <w:t>advise</w:t>
      </w:r>
      <w:proofErr w:type="gramEnd"/>
      <w:r w:rsidRPr="00653487">
        <w:rPr>
          <w:rFonts w:asciiTheme="minorHAnsi" w:hAnsiTheme="minorHAnsi" w:cs="Arial"/>
          <w:b/>
          <w:sz w:val="18"/>
          <w:szCs w:val="18"/>
        </w:rPr>
        <w:t xml:space="preserve"> your Line Man</w:t>
      </w:r>
      <w:r w:rsidR="00F713AA" w:rsidRPr="00653487">
        <w:rPr>
          <w:rFonts w:asciiTheme="minorHAnsi" w:hAnsiTheme="minorHAnsi" w:cs="Arial"/>
          <w:b/>
          <w:sz w:val="18"/>
          <w:szCs w:val="18"/>
        </w:rPr>
        <w:t>a</w:t>
      </w:r>
      <w:r w:rsidRPr="00653487">
        <w:rPr>
          <w:rFonts w:asciiTheme="minorHAnsi" w:hAnsiTheme="minorHAnsi" w:cs="Arial"/>
          <w:b/>
          <w:sz w:val="18"/>
          <w:szCs w:val="18"/>
        </w:rPr>
        <w:t xml:space="preserve">ger if applying for this role. </w:t>
      </w:r>
    </w:p>
    <w:p w:rsidR="00CD6936" w:rsidRPr="00653487" w:rsidRDefault="00CD6936" w:rsidP="001265E9">
      <w:pPr>
        <w:jc w:val="both"/>
        <w:rPr>
          <w:rFonts w:asciiTheme="minorHAnsi" w:hAnsiTheme="minorHAnsi" w:cs="Arial"/>
          <w:sz w:val="18"/>
          <w:szCs w:val="18"/>
        </w:rPr>
      </w:pPr>
    </w:p>
    <w:sectPr w:rsidR="00CD6936" w:rsidRPr="00653487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A1" w:rsidRDefault="00946AA1">
      <w:r>
        <w:separator/>
      </w:r>
    </w:p>
  </w:endnote>
  <w:endnote w:type="continuationSeparator" w:id="0">
    <w:p w:rsidR="00946AA1" w:rsidRDefault="009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A1" w:rsidRDefault="00946AA1">
      <w:r>
        <w:separator/>
      </w:r>
    </w:p>
  </w:footnote>
  <w:footnote w:type="continuationSeparator" w:id="0">
    <w:p w:rsidR="00946AA1" w:rsidRDefault="0094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F9056A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inline distT="0" distB="0" distL="0" distR="0">
          <wp:extent cx="1171575" cy="733425"/>
          <wp:effectExtent l="0" t="0" r="9525" b="9525"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B72"/>
    <w:multiLevelType w:val="hybridMultilevel"/>
    <w:tmpl w:val="878815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734C1"/>
    <w:multiLevelType w:val="hybridMultilevel"/>
    <w:tmpl w:val="0A7A56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91659"/>
    <w:multiLevelType w:val="hybridMultilevel"/>
    <w:tmpl w:val="1272FEC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56DFD"/>
    <w:multiLevelType w:val="hybridMultilevel"/>
    <w:tmpl w:val="727C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A0A"/>
    <w:multiLevelType w:val="hybridMultilevel"/>
    <w:tmpl w:val="0486C71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A8D"/>
    <w:multiLevelType w:val="hybridMultilevel"/>
    <w:tmpl w:val="A314B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739E"/>
    <w:multiLevelType w:val="hybridMultilevel"/>
    <w:tmpl w:val="99586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2D19"/>
    <w:multiLevelType w:val="hybridMultilevel"/>
    <w:tmpl w:val="E6DC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1E4D"/>
    <w:multiLevelType w:val="hybridMultilevel"/>
    <w:tmpl w:val="E806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D4298"/>
    <w:multiLevelType w:val="hybridMultilevel"/>
    <w:tmpl w:val="093CBCF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81AC0"/>
    <w:multiLevelType w:val="hybridMultilevel"/>
    <w:tmpl w:val="0196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51625"/>
    <w:multiLevelType w:val="hybridMultilevel"/>
    <w:tmpl w:val="6AEC4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13BBC"/>
    <w:multiLevelType w:val="hybridMultilevel"/>
    <w:tmpl w:val="BC8499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7017"/>
    <w:multiLevelType w:val="hybridMultilevel"/>
    <w:tmpl w:val="ECDA1E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542F5"/>
    <w:multiLevelType w:val="hybridMultilevel"/>
    <w:tmpl w:val="068EF0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AA6449"/>
    <w:multiLevelType w:val="hybridMultilevel"/>
    <w:tmpl w:val="0590D2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040B"/>
    <w:rsid w:val="00037868"/>
    <w:rsid w:val="000427EC"/>
    <w:rsid w:val="000B541E"/>
    <w:rsid w:val="000D091A"/>
    <w:rsid w:val="000D6F59"/>
    <w:rsid w:val="000F18EC"/>
    <w:rsid w:val="0010370B"/>
    <w:rsid w:val="001102F3"/>
    <w:rsid w:val="001265E9"/>
    <w:rsid w:val="00140AA0"/>
    <w:rsid w:val="001601AA"/>
    <w:rsid w:val="001635C1"/>
    <w:rsid w:val="001C0A4F"/>
    <w:rsid w:val="001D147B"/>
    <w:rsid w:val="00206E3D"/>
    <w:rsid w:val="002153E7"/>
    <w:rsid w:val="002443F1"/>
    <w:rsid w:val="00254C2A"/>
    <w:rsid w:val="002F1E5D"/>
    <w:rsid w:val="00331A17"/>
    <w:rsid w:val="00342D8E"/>
    <w:rsid w:val="003626ED"/>
    <w:rsid w:val="00375230"/>
    <w:rsid w:val="003A2878"/>
    <w:rsid w:val="003B136E"/>
    <w:rsid w:val="003F06FD"/>
    <w:rsid w:val="004B5135"/>
    <w:rsid w:val="004E7D11"/>
    <w:rsid w:val="004F2272"/>
    <w:rsid w:val="004F3F97"/>
    <w:rsid w:val="0050167B"/>
    <w:rsid w:val="00544400"/>
    <w:rsid w:val="0057345B"/>
    <w:rsid w:val="005C7A61"/>
    <w:rsid w:val="00605ACB"/>
    <w:rsid w:val="00621ED8"/>
    <w:rsid w:val="006279E0"/>
    <w:rsid w:val="006346EF"/>
    <w:rsid w:val="00653487"/>
    <w:rsid w:val="006632FE"/>
    <w:rsid w:val="00687B42"/>
    <w:rsid w:val="00696FE1"/>
    <w:rsid w:val="006B304F"/>
    <w:rsid w:val="006B65C3"/>
    <w:rsid w:val="006F0181"/>
    <w:rsid w:val="0071195A"/>
    <w:rsid w:val="00720BC8"/>
    <w:rsid w:val="00733F28"/>
    <w:rsid w:val="00762997"/>
    <w:rsid w:val="00767EAA"/>
    <w:rsid w:val="00796571"/>
    <w:rsid w:val="007B50F1"/>
    <w:rsid w:val="007C4138"/>
    <w:rsid w:val="007F457B"/>
    <w:rsid w:val="00820334"/>
    <w:rsid w:val="008539F5"/>
    <w:rsid w:val="00894231"/>
    <w:rsid w:val="008D0CA9"/>
    <w:rsid w:val="008D0FE2"/>
    <w:rsid w:val="008E273B"/>
    <w:rsid w:val="008F0803"/>
    <w:rsid w:val="008F0D53"/>
    <w:rsid w:val="00946AA1"/>
    <w:rsid w:val="00960DF4"/>
    <w:rsid w:val="00982F8F"/>
    <w:rsid w:val="009878B1"/>
    <w:rsid w:val="009A277A"/>
    <w:rsid w:val="009A2A83"/>
    <w:rsid w:val="009A73EB"/>
    <w:rsid w:val="009D0B11"/>
    <w:rsid w:val="00A31A16"/>
    <w:rsid w:val="00A3311A"/>
    <w:rsid w:val="00A346B1"/>
    <w:rsid w:val="00A93059"/>
    <w:rsid w:val="00AA563C"/>
    <w:rsid w:val="00AC614D"/>
    <w:rsid w:val="00AD57C0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96D16"/>
    <w:rsid w:val="00BA78DA"/>
    <w:rsid w:val="00BB3293"/>
    <w:rsid w:val="00C11094"/>
    <w:rsid w:val="00C5225D"/>
    <w:rsid w:val="00C73440"/>
    <w:rsid w:val="00C8304C"/>
    <w:rsid w:val="00CC5874"/>
    <w:rsid w:val="00CD6936"/>
    <w:rsid w:val="00CD6C56"/>
    <w:rsid w:val="00D053A2"/>
    <w:rsid w:val="00D2067F"/>
    <w:rsid w:val="00D74334"/>
    <w:rsid w:val="00D937EF"/>
    <w:rsid w:val="00DA0EFA"/>
    <w:rsid w:val="00DC0AC2"/>
    <w:rsid w:val="00DC515B"/>
    <w:rsid w:val="00DD0ACC"/>
    <w:rsid w:val="00DD5DD6"/>
    <w:rsid w:val="00DD6731"/>
    <w:rsid w:val="00DF339D"/>
    <w:rsid w:val="00E25C00"/>
    <w:rsid w:val="00E315A4"/>
    <w:rsid w:val="00E42AC1"/>
    <w:rsid w:val="00E5711A"/>
    <w:rsid w:val="00E76284"/>
    <w:rsid w:val="00EB5417"/>
    <w:rsid w:val="00F0246E"/>
    <w:rsid w:val="00F117C1"/>
    <w:rsid w:val="00F5637E"/>
    <w:rsid w:val="00F65759"/>
    <w:rsid w:val="00F713AA"/>
    <w:rsid w:val="00F732A6"/>
    <w:rsid w:val="00F81237"/>
    <w:rsid w:val="00F9056A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3E7"/>
    <w:pPr>
      <w:keepNext/>
      <w:outlineLvl w:val="0"/>
    </w:pPr>
    <w:rPr>
      <w:rFonts w:ascii="Tahoma" w:hAnsi="Tahoma"/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D091A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153E7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2153E7"/>
    <w:rPr>
      <w:rFonts w:ascii="Tahoma" w:hAnsi="Tahom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153E7"/>
    <w:rPr>
      <w:rFonts w:ascii="Tahoma" w:hAnsi="Tahoma"/>
      <w:b/>
      <w:sz w:val="28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2153E7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2153E7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0D091A"/>
    <w:rPr>
      <w:rFonts w:ascii="Tahoma" w:hAnsi="Tahoma"/>
      <w:b/>
      <w:sz w:val="24"/>
      <w:lang w:eastAsia="en-US"/>
    </w:rPr>
  </w:style>
  <w:style w:type="paragraph" w:customStyle="1" w:styleId="contents">
    <w:name w:val="contents"/>
    <w:basedOn w:val="Title"/>
    <w:rsid w:val="000D091A"/>
    <w:pPr>
      <w:pBdr>
        <w:bottom w:val="none" w:sz="0" w:space="0" w:color="auto"/>
      </w:pBdr>
      <w:spacing w:before="60" w:after="60" w:line="312" w:lineRule="auto"/>
      <w:ind w:left="360" w:hanging="360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0D0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0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3E7"/>
    <w:pPr>
      <w:keepNext/>
      <w:outlineLvl w:val="0"/>
    </w:pPr>
    <w:rPr>
      <w:rFonts w:ascii="Tahoma" w:hAnsi="Tahoma"/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D091A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153E7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2153E7"/>
    <w:rPr>
      <w:rFonts w:ascii="Tahoma" w:hAnsi="Tahom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153E7"/>
    <w:rPr>
      <w:rFonts w:ascii="Tahoma" w:hAnsi="Tahoma"/>
      <w:b/>
      <w:sz w:val="28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2153E7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2153E7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0D091A"/>
    <w:rPr>
      <w:rFonts w:ascii="Tahoma" w:hAnsi="Tahoma"/>
      <w:b/>
      <w:sz w:val="24"/>
      <w:lang w:eastAsia="en-US"/>
    </w:rPr>
  </w:style>
  <w:style w:type="paragraph" w:customStyle="1" w:styleId="contents">
    <w:name w:val="contents"/>
    <w:basedOn w:val="Title"/>
    <w:rsid w:val="000D091A"/>
    <w:pPr>
      <w:pBdr>
        <w:bottom w:val="none" w:sz="0" w:space="0" w:color="auto"/>
      </w:pBdr>
      <w:spacing w:before="60" w:after="60" w:line="312" w:lineRule="auto"/>
      <w:ind w:left="360" w:hanging="360"/>
      <w:contextualSpacing w:val="0"/>
    </w:pPr>
    <w:rPr>
      <w:rFonts w:ascii="Times New Roman" w:eastAsia="Times New Roman" w:hAnsi="Times New Roman" w:cs="Times New Roman"/>
      <w:b/>
      <w:color w:val="auto"/>
      <w:spacing w:val="0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0D0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0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3311</CharactersWithSpaces>
  <SharedDoc>false</SharedDoc>
  <HLinks>
    <vt:vector size="6" baseType="variant"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mailto:Suzanne.bricknell@taylorwimpey.com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2016-07-20T09:52:00Z</cp:lastPrinted>
  <dcterms:created xsi:type="dcterms:W3CDTF">2016-10-31T10:42:00Z</dcterms:created>
  <dcterms:modified xsi:type="dcterms:W3CDTF">2016-10-31T10:42:00Z</dcterms:modified>
</cp:coreProperties>
</file>