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03" w:rsidRPr="00F81803" w:rsidRDefault="00A10E81" w:rsidP="00490EC2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 xml:space="preserve">Assistant Strategic </w:t>
      </w:r>
      <w:r w:rsidR="004A4342">
        <w:rPr>
          <w:rFonts w:ascii="Calibri" w:eastAsia="Calibri" w:hAnsi="Calibri"/>
          <w:b/>
          <w:sz w:val="18"/>
          <w:szCs w:val="18"/>
        </w:rPr>
        <w:t>Project</w:t>
      </w:r>
      <w:r w:rsidR="000F7048">
        <w:rPr>
          <w:rFonts w:ascii="Calibri" w:eastAsia="Calibri" w:hAnsi="Calibri"/>
          <w:b/>
          <w:sz w:val="18"/>
          <w:szCs w:val="18"/>
        </w:rPr>
        <w:t>s</w:t>
      </w:r>
      <w:r w:rsidR="004A4342">
        <w:rPr>
          <w:rFonts w:ascii="Calibri" w:eastAsia="Calibri" w:hAnsi="Calibri"/>
          <w:b/>
          <w:sz w:val="18"/>
          <w:szCs w:val="18"/>
        </w:rPr>
        <w:t xml:space="preserve"> Manager</w:t>
      </w:r>
    </w:p>
    <w:p w:rsidR="00F81803" w:rsidRDefault="00F81803" w:rsidP="00F56AAC">
      <w:pPr>
        <w:rPr>
          <w:rFonts w:ascii="Calibri" w:hAnsi="Calibri" w:cs="Arial"/>
          <w:sz w:val="18"/>
          <w:szCs w:val="18"/>
        </w:rPr>
      </w:pPr>
      <w:r w:rsidRPr="00F81803">
        <w:rPr>
          <w:rFonts w:ascii="Calibri" w:hAnsi="Calibri"/>
          <w:sz w:val="18"/>
          <w:szCs w:val="18"/>
          <w:lang w:val="en"/>
        </w:rPr>
        <w:t xml:space="preserve">We are looking for a </w:t>
      </w:r>
      <w:r w:rsidR="004A4342">
        <w:rPr>
          <w:rFonts w:ascii="Calibri" w:hAnsi="Calibri"/>
          <w:sz w:val="18"/>
          <w:szCs w:val="18"/>
          <w:lang w:val="en"/>
        </w:rPr>
        <w:t xml:space="preserve">planned, </w:t>
      </w:r>
      <w:r w:rsidR="004A4342" w:rsidRPr="004A4342">
        <w:rPr>
          <w:rFonts w:ascii="Calibri" w:hAnsi="Calibri"/>
          <w:sz w:val="18"/>
          <w:szCs w:val="18"/>
        </w:rPr>
        <w:t>organised</w:t>
      </w:r>
      <w:r w:rsidR="004A4342">
        <w:rPr>
          <w:rFonts w:ascii="Calibri" w:hAnsi="Calibri"/>
          <w:sz w:val="18"/>
          <w:szCs w:val="18"/>
          <w:lang w:val="en"/>
        </w:rPr>
        <w:t xml:space="preserve"> and </w:t>
      </w:r>
      <w:r w:rsidRPr="00F81803">
        <w:rPr>
          <w:rFonts w:ascii="Calibri" w:hAnsi="Calibri"/>
          <w:sz w:val="18"/>
          <w:szCs w:val="18"/>
          <w:lang w:val="en"/>
        </w:rPr>
        <w:t>co</w:t>
      </w:r>
      <w:r w:rsidR="004A4342">
        <w:rPr>
          <w:rFonts w:ascii="Calibri" w:hAnsi="Calibri"/>
          <w:sz w:val="18"/>
          <w:szCs w:val="18"/>
          <w:lang w:val="en"/>
        </w:rPr>
        <w:t xml:space="preserve">llaborative </w:t>
      </w:r>
      <w:r w:rsidR="00F75915">
        <w:rPr>
          <w:rFonts w:ascii="Calibri" w:hAnsi="Calibri"/>
          <w:sz w:val="18"/>
          <w:szCs w:val="18"/>
          <w:lang w:val="en"/>
        </w:rPr>
        <w:t xml:space="preserve">Assistant Strategic </w:t>
      </w:r>
      <w:r w:rsidR="004A4342">
        <w:rPr>
          <w:rFonts w:ascii="Calibri" w:hAnsi="Calibri"/>
          <w:sz w:val="18"/>
          <w:szCs w:val="18"/>
          <w:lang w:val="en"/>
        </w:rPr>
        <w:t>Project Manager</w:t>
      </w:r>
      <w:r>
        <w:rPr>
          <w:rFonts w:ascii="Calibri" w:eastAsia="Calibri" w:hAnsi="Calibri"/>
          <w:sz w:val="18"/>
          <w:szCs w:val="18"/>
        </w:rPr>
        <w:t xml:space="preserve"> to support the </w:t>
      </w:r>
      <w:r w:rsidR="000F7048">
        <w:rPr>
          <w:rFonts w:ascii="Calibri" w:eastAsia="Calibri" w:hAnsi="Calibri"/>
          <w:sz w:val="18"/>
          <w:szCs w:val="18"/>
        </w:rPr>
        <w:t xml:space="preserve">Senior </w:t>
      </w:r>
      <w:r w:rsidR="00F75915">
        <w:rPr>
          <w:rFonts w:ascii="Calibri" w:eastAsia="Calibri" w:hAnsi="Calibri"/>
          <w:sz w:val="18"/>
          <w:szCs w:val="18"/>
        </w:rPr>
        <w:t xml:space="preserve">Strategic </w:t>
      </w:r>
      <w:r w:rsidR="000F7048">
        <w:rPr>
          <w:rFonts w:ascii="Calibri" w:eastAsia="Calibri" w:hAnsi="Calibri"/>
          <w:sz w:val="18"/>
          <w:szCs w:val="18"/>
        </w:rPr>
        <w:t xml:space="preserve">Projects Manager </w:t>
      </w:r>
      <w:bookmarkStart w:id="0" w:name="_GoBack"/>
      <w:bookmarkEnd w:id="0"/>
      <w:r w:rsidR="00F75915">
        <w:rPr>
          <w:rFonts w:ascii="Calibri" w:hAnsi="Calibri" w:cs="Arial"/>
          <w:sz w:val="18"/>
          <w:szCs w:val="18"/>
        </w:rPr>
        <w:t>at</w:t>
      </w:r>
      <w:r>
        <w:rPr>
          <w:rFonts w:ascii="Calibri" w:eastAsia="Calibri" w:hAnsi="Calibri"/>
          <w:sz w:val="18"/>
          <w:szCs w:val="18"/>
        </w:rPr>
        <w:t xml:space="preserve"> Taylor Wimpey</w:t>
      </w:r>
      <w:r w:rsidR="00F75915">
        <w:rPr>
          <w:rFonts w:ascii="Calibri" w:eastAsia="Calibri" w:hAnsi="Calibri"/>
          <w:sz w:val="18"/>
          <w:szCs w:val="18"/>
        </w:rPr>
        <w:t>.</w:t>
      </w:r>
    </w:p>
    <w:p w:rsidR="00F56AAC" w:rsidRPr="00F56AAC" w:rsidRDefault="00F56AAC" w:rsidP="00F56AAC">
      <w:pPr>
        <w:rPr>
          <w:rFonts w:ascii="Calibri" w:hAnsi="Calibri" w:cs="Arial"/>
          <w:color w:val="292929"/>
          <w:sz w:val="18"/>
          <w:szCs w:val="18"/>
        </w:rPr>
      </w:pPr>
    </w:p>
    <w:p w:rsidR="000F7048" w:rsidRPr="002D36A9" w:rsidRDefault="009D3803" w:rsidP="000F7048">
      <w:pPr>
        <w:jc w:val="both"/>
        <w:rPr>
          <w:rFonts w:asciiTheme="minorHAnsi" w:hAnsiTheme="minorHAnsi" w:cs="Arial"/>
          <w:color w:val="CC0000"/>
          <w:sz w:val="18"/>
          <w:szCs w:val="18"/>
        </w:rPr>
      </w:pPr>
      <w:r w:rsidRPr="00F81803">
        <w:rPr>
          <w:rFonts w:ascii="Calibri" w:eastAsia="Calibri" w:hAnsi="Calibri" w:cs="Arial"/>
          <w:color w:val="000000"/>
          <w:sz w:val="18"/>
          <w:szCs w:val="18"/>
        </w:rPr>
        <w:t xml:space="preserve">This is a fantastic </w:t>
      </w:r>
      <w:r>
        <w:rPr>
          <w:rFonts w:ascii="Calibri" w:eastAsia="Calibri" w:hAnsi="Calibri" w:cs="Arial"/>
          <w:color w:val="000000"/>
          <w:sz w:val="18"/>
          <w:szCs w:val="18"/>
        </w:rPr>
        <w:t>opportunity for a</w:t>
      </w:r>
      <w:r w:rsidR="00F75915">
        <w:rPr>
          <w:rFonts w:ascii="Calibri" w:eastAsia="Calibri" w:hAnsi="Calibri" w:cs="Arial"/>
          <w:color w:val="000000"/>
          <w:sz w:val="18"/>
          <w:szCs w:val="18"/>
        </w:rPr>
        <w:t>n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 </w:t>
      </w:r>
      <w:r w:rsidR="00F75915">
        <w:rPr>
          <w:rFonts w:ascii="Calibri" w:eastAsia="Calibri" w:hAnsi="Calibri" w:cs="Arial"/>
          <w:sz w:val="18"/>
          <w:szCs w:val="18"/>
          <w:lang w:val="en"/>
        </w:rPr>
        <w:t xml:space="preserve">enthusiastic and good team worker </w:t>
      </w:r>
      <w:r>
        <w:rPr>
          <w:rFonts w:ascii="Calibri" w:eastAsia="Calibri" w:hAnsi="Calibri" w:cs="Arial"/>
          <w:sz w:val="18"/>
          <w:szCs w:val="18"/>
          <w:lang w:val="en"/>
        </w:rPr>
        <w:t xml:space="preserve">who </w:t>
      </w:r>
      <w:r>
        <w:rPr>
          <w:rFonts w:ascii="Calibri" w:eastAsia="Calibri" w:hAnsi="Calibri"/>
          <w:sz w:val="18"/>
          <w:szCs w:val="18"/>
        </w:rPr>
        <w:t xml:space="preserve">will </w:t>
      </w:r>
      <w:r w:rsidR="00F75915">
        <w:rPr>
          <w:rFonts w:ascii="Calibri" w:eastAsia="Calibri" w:hAnsi="Calibri"/>
          <w:sz w:val="18"/>
          <w:szCs w:val="18"/>
        </w:rPr>
        <w:t>be r</w:t>
      </w:r>
      <w:r w:rsidR="00F75915" w:rsidRPr="002D36A9">
        <w:rPr>
          <w:rFonts w:asciiTheme="minorHAnsi" w:hAnsiTheme="minorHAnsi"/>
          <w:sz w:val="18"/>
          <w:szCs w:val="18"/>
        </w:rPr>
        <w:t xml:space="preserve">esponsible for </w:t>
      </w:r>
      <w:r w:rsidR="000F7048">
        <w:rPr>
          <w:rFonts w:asciiTheme="minorHAnsi" w:hAnsiTheme="minorHAnsi"/>
          <w:sz w:val="18"/>
          <w:szCs w:val="18"/>
        </w:rPr>
        <w:t>assisting with</w:t>
      </w:r>
      <w:r w:rsidR="000F7048" w:rsidRPr="002D36A9">
        <w:rPr>
          <w:rFonts w:asciiTheme="minorHAnsi" w:hAnsiTheme="minorHAnsi"/>
          <w:sz w:val="18"/>
          <w:szCs w:val="18"/>
        </w:rPr>
        <w:t xml:space="preserve"> the Strategic Land portfolio in the operating areas covered by the East Anglia, </w:t>
      </w:r>
      <w:r w:rsidR="000F7048">
        <w:rPr>
          <w:rFonts w:asciiTheme="minorHAnsi" w:hAnsiTheme="minorHAnsi"/>
          <w:sz w:val="18"/>
          <w:szCs w:val="18"/>
        </w:rPr>
        <w:t>Oxford, East Midlands</w:t>
      </w:r>
      <w:r w:rsidR="000F7048" w:rsidRPr="002D36A9">
        <w:rPr>
          <w:rFonts w:asciiTheme="minorHAnsi" w:hAnsiTheme="minorHAnsi"/>
          <w:sz w:val="18"/>
          <w:szCs w:val="18"/>
        </w:rPr>
        <w:t xml:space="preserve"> and South Midlands Regional Business Units. </w:t>
      </w:r>
    </w:p>
    <w:p w:rsidR="000F7048" w:rsidRPr="002D36A9" w:rsidRDefault="000F7048" w:rsidP="000F7048">
      <w:pPr>
        <w:jc w:val="both"/>
        <w:rPr>
          <w:rFonts w:ascii="Calibri" w:hAnsi="Calibri" w:cs="Arial"/>
          <w:color w:val="CC0000"/>
          <w:sz w:val="18"/>
          <w:szCs w:val="18"/>
        </w:rPr>
      </w:pPr>
    </w:p>
    <w:p w:rsidR="00F75915" w:rsidRPr="00BB28AF" w:rsidRDefault="00547551" w:rsidP="00F75915">
      <w:pPr>
        <w:spacing w:after="200"/>
        <w:contextualSpacing/>
        <w:rPr>
          <w:rFonts w:ascii="Calibri" w:hAnsi="Calibri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successful candidate will have </w:t>
      </w:r>
      <w:r w:rsidR="00F75915">
        <w:rPr>
          <w:rFonts w:ascii="Calibri" w:hAnsi="Calibri" w:cs="Arial"/>
          <w:sz w:val="18"/>
          <w:szCs w:val="18"/>
        </w:rPr>
        <w:t>Commercial Acumen, f</w:t>
      </w:r>
      <w:r w:rsidR="00F75915" w:rsidRPr="00A668C9">
        <w:rPr>
          <w:rFonts w:asciiTheme="minorHAnsi" w:hAnsiTheme="minorHAnsi"/>
          <w:sz w:val="18"/>
          <w:szCs w:val="18"/>
        </w:rPr>
        <w:t>ull understanding of corporate vision and strategic policies</w:t>
      </w:r>
      <w:r w:rsidR="00F75915">
        <w:rPr>
          <w:rFonts w:asciiTheme="minorHAnsi" w:hAnsiTheme="minorHAnsi"/>
          <w:sz w:val="18"/>
          <w:szCs w:val="18"/>
        </w:rPr>
        <w:t xml:space="preserve"> as well as f</w:t>
      </w:r>
      <w:r w:rsidR="00F75915" w:rsidRPr="00A668C9">
        <w:rPr>
          <w:rFonts w:asciiTheme="minorHAnsi" w:hAnsiTheme="minorHAnsi"/>
          <w:sz w:val="18"/>
          <w:szCs w:val="18"/>
        </w:rPr>
        <w:t xml:space="preserve">ull understanding of government planning policy, the </w:t>
      </w:r>
      <w:r w:rsidR="00F75915">
        <w:rPr>
          <w:rFonts w:asciiTheme="minorHAnsi" w:hAnsiTheme="minorHAnsi"/>
          <w:sz w:val="18"/>
          <w:szCs w:val="18"/>
        </w:rPr>
        <w:t>Local Plan</w:t>
      </w:r>
      <w:r w:rsidR="00F75915" w:rsidRPr="00A668C9">
        <w:rPr>
          <w:rFonts w:asciiTheme="minorHAnsi" w:hAnsiTheme="minorHAnsi"/>
          <w:sz w:val="18"/>
          <w:szCs w:val="18"/>
        </w:rPr>
        <w:t xml:space="preserve"> process and housing land supply issues</w:t>
      </w:r>
      <w:r w:rsidR="00F75915">
        <w:rPr>
          <w:rFonts w:asciiTheme="minorHAnsi" w:hAnsiTheme="minorHAnsi"/>
          <w:sz w:val="18"/>
          <w:szCs w:val="18"/>
        </w:rPr>
        <w:t>. So, you will b</w:t>
      </w:r>
      <w:r w:rsidR="00F75915">
        <w:rPr>
          <w:rFonts w:asciiTheme="minorHAnsi" w:hAnsiTheme="minorHAnsi"/>
          <w:sz w:val="18"/>
          <w:szCs w:val="18"/>
        </w:rPr>
        <w:t>e responsible for effective management of projects and limiting liability/risks to the company.</w:t>
      </w:r>
    </w:p>
    <w:p w:rsidR="00404FAE" w:rsidRDefault="00404FAE" w:rsidP="00F75915">
      <w:pPr>
        <w:rPr>
          <w:rFonts w:ascii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The Role:</w:t>
      </w:r>
    </w:p>
    <w:p w:rsidR="000F7048" w:rsidRPr="002D36A9" w:rsidRDefault="000F7048" w:rsidP="000F7048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>The promotion of sites through the planning process with a view to securing allocations of land for housing</w:t>
      </w:r>
    </w:p>
    <w:p w:rsidR="000F7048" w:rsidRPr="002D36A9" w:rsidRDefault="000F7048" w:rsidP="000F7048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Assisting with t</w:t>
      </w:r>
      <w:r w:rsidRPr="002D36A9">
        <w:rPr>
          <w:rFonts w:asciiTheme="minorHAnsi" w:hAnsiTheme="minorHAnsi"/>
          <w:sz w:val="18"/>
          <w:szCs w:val="18"/>
        </w:rPr>
        <w:t>he making of planning applications and the handling of appeals.</w:t>
      </w:r>
    </w:p>
    <w:p w:rsidR="000F7048" w:rsidRPr="002D36A9" w:rsidRDefault="000F7048" w:rsidP="000F7048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>The appointment of external consultants</w:t>
      </w:r>
      <w:r>
        <w:rPr>
          <w:rFonts w:asciiTheme="minorHAnsi" w:hAnsiTheme="minorHAnsi"/>
          <w:sz w:val="18"/>
          <w:szCs w:val="18"/>
        </w:rPr>
        <w:t xml:space="preserve"> and management of them</w:t>
      </w:r>
    </w:p>
    <w:p w:rsidR="000F7048" w:rsidRPr="002D36A9" w:rsidRDefault="000F7048" w:rsidP="000F7048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>Liaison with landowners over progress on site promotion</w:t>
      </w:r>
    </w:p>
    <w:p w:rsidR="000F7048" w:rsidRPr="002D36A9" w:rsidRDefault="000F7048" w:rsidP="000F7048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>Responsibility for the renewal/extension of options</w:t>
      </w:r>
    </w:p>
    <w:p w:rsidR="000F7048" w:rsidRPr="002D36A9" w:rsidRDefault="000F7048" w:rsidP="000F7048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 xml:space="preserve">Input into the production </w:t>
      </w:r>
      <w:r>
        <w:rPr>
          <w:rFonts w:asciiTheme="minorHAnsi" w:hAnsiTheme="minorHAnsi"/>
          <w:sz w:val="18"/>
          <w:szCs w:val="18"/>
        </w:rPr>
        <w:t xml:space="preserve">(and working within the framework) </w:t>
      </w:r>
      <w:r w:rsidRPr="002D36A9">
        <w:rPr>
          <w:rFonts w:asciiTheme="minorHAnsi" w:hAnsiTheme="minorHAnsi"/>
          <w:sz w:val="18"/>
          <w:szCs w:val="18"/>
        </w:rPr>
        <w:t>of developer collaboration agreements</w:t>
      </w:r>
    </w:p>
    <w:p w:rsidR="000F7048" w:rsidRPr="002D36A9" w:rsidRDefault="000F7048" w:rsidP="000F7048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 xml:space="preserve">The monitoring of Local </w:t>
      </w:r>
      <w:r>
        <w:rPr>
          <w:rFonts w:asciiTheme="minorHAnsi" w:hAnsiTheme="minorHAnsi"/>
          <w:sz w:val="18"/>
          <w:szCs w:val="18"/>
        </w:rPr>
        <w:t>Plan</w:t>
      </w:r>
      <w:r w:rsidRPr="002D36A9">
        <w:rPr>
          <w:rFonts w:asciiTheme="minorHAnsi" w:hAnsiTheme="minorHAnsi"/>
          <w:sz w:val="18"/>
          <w:szCs w:val="18"/>
        </w:rPr>
        <w:t xml:space="preserve"> documents, housing land supply and competitor activity</w:t>
      </w:r>
    </w:p>
    <w:p w:rsidR="000F7048" w:rsidRPr="002D36A9" w:rsidRDefault="000F7048" w:rsidP="000F7048">
      <w:pPr>
        <w:numPr>
          <w:ilvl w:val="0"/>
          <w:numId w:val="44"/>
        </w:numPr>
        <w:ind w:left="426"/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>Community engagement on site promotions and planning applications</w:t>
      </w:r>
    </w:p>
    <w:p w:rsidR="000F7048" w:rsidRPr="002D36A9" w:rsidRDefault="000F7048" w:rsidP="000F7048">
      <w:pPr>
        <w:numPr>
          <w:ilvl w:val="0"/>
          <w:numId w:val="45"/>
        </w:numPr>
        <w:rPr>
          <w:rFonts w:asciiTheme="minorHAnsi" w:hAnsiTheme="minorHAnsi"/>
          <w:sz w:val="18"/>
          <w:szCs w:val="18"/>
        </w:rPr>
      </w:pPr>
      <w:r w:rsidRPr="002D36A9">
        <w:rPr>
          <w:rFonts w:asciiTheme="minorHAnsi" w:hAnsiTheme="minorHAnsi"/>
          <w:sz w:val="18"/>
          <w:szCs w:val="18"/>
        </w:rPr>
        <w:t>Management of planning activity to deliver key targets</w:t>
      </w:r>
    </w:p>
    <w:p w:rsidR="000F7048" w:rsidRPr="00FC7682" w:rsidRDefault="000F7048" w:rsidP="000F7048">
      <w:pPr>
        <w:numPr>
          <w:ilvl w:val="0"/>
          <w:numId w:val="45"/>
        </w:numPr>
        <w:rPr>
          <w:rFonts w:asciiTheme="minorHAnsi" w:hAnsiTheme="minorHAnsi"/>
          <w:sz w:val="18"/>
          <w:szCs w:val="18"/>
        </w:rPr>
      </w:pPr>
      <w:r w:rsidRPr="00FC7682">
        <w:rPr>
          <w:rFonts w:asciiTheme="minorHAnsi" w:hAnsiTheme="minorHAnsi"/>
          <w:sz w:val="18"/>
          <w:szCs w:val="18"/>
        </w:rPr>
        <w:t>Management of fee spend in line with budget forecasts</w:t>
      </w:r>
    </w:p>
    <w:p w:rsidR="000F7048" w:rsidRPr="00FC7682" w:rsidRDefault="000F7048" w:rsidP="000F7048">
      <w:pPr>
        <w:numPr>
          <w:ilvl w:val="0"/>
          <w:numId w:val="45"/>
        </w:numPr>
        <w:rPr>
          <w:rFonts w:asciiTheme="minorHAnsi" w:hAnsiTheme="minorHAnsi"/>
          <w:sz w:val="18"/>
          <w:szCs w:val="18"/>
        </w:rPr>
      </w:pPr>
      <w:r w:rsidRPr="00FC7682">
        <w:rPr>
          <w:rFonts w:asciiTheme="minorHAnsi" w:hAnsiTheme="minorHAnsi"/>
          <w:sz w:val="18"/>
          <w:szCs w:val="18"/>
        </w:rPr>
        <w:t>Acting as interface with the regional team to ensure that business unit requirements are met on planning applications</w:t>
      </w:r>
    </w:p>
    <w:p w:rsidR="000F7048" w:rsidRPr="00FC7682" w:rsidRDefault="000F7048" w:rsidP="000F7048">
      <w:pPr>
        <w:numPr>
          <w:ilvl w:val="0"/>
          <w:numId w:val="45"/>
        </w:numPr>
        <w:rPr>
          <w:rFonts w:asciiTheme="minorHAnsi" w:hAnsiTheme="minorHAnsi"/>
          <w:sz w:val="18"/>
          <w:szCs w:val="18"/>
        </w:rPr>
      </w:pPr>
      <w:r w:rsidRPr="00FC7682">
        <w:rPr>
          <w:rFonts w:asciiTheme="minorHAnsi" w:hAnsiTheme="minorHAnsi"/>
          <w:sz w:val="18"/>
          <w:szCs w:val="18"/>
        </w:rPr>
        <w:t>Liaison with statutory bodies to assist in the resolving of technical and design issues.</w:t>
      </w:r>
    </w:p>
    <w:p w:rsidR="000F7048" w:rsidRPr="00FC7682" w:rsidRDefault="000F7048" w:rsidP="000F7048">
      <w:pPr>
        <w:numPr>
          <w:ilvl w:val="0"/>
          <w:numId w:val="45"/>
        </w:numPr>
        <w:rPr>
          <w:rFonts w:asciiTheme="minorHAnsi" w:hAnsiTheme="minorHAnsi"/>
          <w:sz w:val="18"/>
          <w:szCs w:val="18"/>
        </w:rPr>
      </w:pPr>
      <w:r w:rsidRPr="00FC7682">
        <w:rPr>
          <w:rFonts w:asciiTheme="minorHAnsi" w:hAnsiTheme="minorHAnsi"/>
          <w:sz w:val="18"/>
          <w:szCs w:val="18"/>
        </w:rPr>
        <w:t>Production of monthly progress reports on key projects</w:t>
      </w:r>
    </w:p>
    <w:p w:rsidR="000F7048" w:rsidRPr="00BB28AF" w:rsidRDefault="000F7048" w:rsidP="000F7048">
      <w:pPr>
        <w:numPr>
          <w:ilvl w:val="0"/>
          <w:numId w:val="45"/>
        </w:numPr>
        <w:rPr>
          <w:rFonts w:ascii="Calibri" w:hAnsi="Calibr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</w:t>
      </w:r>
      <w:r w:rsidRPr="00BB28AF">
        <w:rPr>
          <w:rFonts w:asciiTheme="minorHAnsi" w:hAnsiTheme="minorHAnsi"/>
          <w:sz w:val="18"/>
          <w:szCs w:val="18"/>
        </w:rPr>
        <w:t>roduce scheme viabilities</w:t>
      </w:r>
    </w:p>
    <w:p w:rsidR="000F7048" w:rsidRPr="00BB28AF" w:rsidRDefault="000F7048" w:rsidP="000F7048">
      <w:pPr>
        <w:numPr>
          <w:ilvl w:val="0"/>
          <w:numId w:val="45"/>
        </w:numPr>
        <w:rPr>
          <w:rFonts w:ascii="Calibri" w:hAnsi="Calibri"/>
          <w:b/>
          <w:sz w:val="18"/>
          <w:szCs w:val="18"/>
        </w:rPr>
      </w:pPr>
      <w:r w:rsidRPr="00BB28A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P</w:t>
      </w:r>
      <w:r w:rsidRPr="00BB28AF">
        <w:rPr>
          <w:rFonts w:asciiTheme="minorHAnsi" w:hAnsiTheme="minorHAnsi"/>
          <w:sz w:val="18"/>
          <w:szCs w:val="18"/>
        </w:rPr>
        <w:t>roduce and manage budgets and professional fees</w:t>
      </w:r>
    </w:p>
    <w:p w:rsidR="000F7048" w:rsidRDefault="000F7048" w:rsidP="000F7048">
      <w:pPr>
        <w:rPr>
          <w:rFonts w:ascii="Calibri" w:hAnsi="Calibri"/>
          <w:b/>
          <w:sz w:val="18"/>
          <w:szCs w:val="18"/>
        </w:rPr>
      </w:pPr>
    </w:p>
    <w:p w:rsidR="00F75915" w:rsidRDefault="00F75915" w:rsidP="00F75915">
      <w:pPr>
        <w:rPr>
          <w:rFonts w:ascii="Calibri" w:hAnsi="Calibri"/>
          <w:b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The Person:</w:t>
      </w:r>
    </w:p>
    <w:p w:rsidR="000F7048" w:rsidRPr="00B5305A" w:rsidRDefault="000F7048" w:rsidP="000F7048">
      <w:pPr>
        <w:numPr>
          <w:ilvl w:val="0"/>
          <w:numId w:val="44"/>
        </w:numPr>
        <w:ind w:left="426" w:hanging="426"/>
        <w:rPr>
          <w:rFonts w:ascii="Calibri" w:hAnsi="Calibri"/>
          <w:sz w:val="18"/>
          <w:szCs w:val="18"/>
        </w:rPr>
      </w:pPr>
      <w:r w:rsidRPr="00B5305A">
        <w:rPr>
          <w:rFonts w:ascii="Calibri" w:hAnsi="Calibri"/>
          <w:sz w:val="18"/>
          <w:szCs w:val="18"/>
        </w:rPr>
        <w:t>Competent PC skills, including MS Word, Excel, Outlook, PowerPoint</w:t>
      </w:r>
    </w:p>
    <w:p w:rsidR="000F7048" w:rsidRPr="00B5305A" w:rsidRDefault="000F7048" w:rsidP="000F7048">
      <w:pPr>
        <w:numPr>
          <w:ilvl w:val="0"/>
          <w:numId w:val="44"/>
        </w:numPr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Good</w:t>
      </w:r>
      <w:r w:rsidRPr="00B5305A">
        <w:rPr>
          <w:rFonts w:ascii="Calibri" w:hAnsi="Calibri"/>
          <w:sz w:val="18"/>
          <w:szCs w:val="18"/>
        </w:rPr>
        <w:t xml:space="preserve"> administrative and organisations skills, ability to multi-task and prioritise workload</w:t>
      </w:r>
    </w:p>
    <w:p w:rsidR="000F7048" w:rsidRPr="00B5305A" w:rsidRDefault="000F7048" w:rsidP="000F7048">
      <w:pPr>
        <w:numPr>
          <w:ilvl w:val="0"/>
          <w:numId w:val="44"/>
        </w:numPr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Good</w:t>
      </w:r>
      <w:r w:rsidRPr="00B5305A">
        <w:rPr>
          <w:rFonts w:ascii="Calibri" w:hAnsi="Calibri"/>
          <w:sz w:val="18"/>
          <w:szCs w:val="18"/>
        </w:rPr>
        <w:t xml:space="preserve"> telephone manner </w:t>
      </w:r>
      <w:r>
        <w:rPr>
          <w:rFonts w:ascii="Calibri" w:hAnsi="Calibri"/>
          <w:sz w:val="18"/>
          <w:szCs w:val="18"/>
        </w:rPr>
        <w:t>and interpersonal skills</w:t>
      </w:r>
    </w:p>
    <w:p w:rsidR="000F7048" w:rsidRPr="00B5305A" w:rsidRDefault="000F7048" w:rsidP="000F7048">
      <w:pPr>
        <w:numPr>
          <w:ilvl w:val="0"/>
          <w:numId w:val="44"/>
        </w:numPr>
        <w:ind w:left="426" w:hanging="426"/>
        <w:rPr>
          <w:rFonts w:ascii="Calibri" w:hAnsi="Calibri"/>
          <w:sz w:val="18"/>
          <w:szCs w:val="18"/>
        </w:rPr>
      </w:pPr>
      <w:r w:rsidRPr="00B5305A">
        <w:rPr>
          <w:rFonts w:ascii="Calibri" w:hAnsi="Calibri"/>
          <w:sz w:val="18"/>
          <w:szCs w:val="18"/>
        </w:rPr>
        <w:t>Must be a self-starter, and able to be flexible with regards to daily work</w:t>
      </w:r>
    </w:p>
    <w:p w:rsidR="000F7048" w:rsidRDefault="000F7048" w:rsidP="000F7048">
      <w:pPr>
        <w:numPr>
          <w:ilvl w:val="0"/>
          <w:numId w:val="44"/>
        </w:numPr>
        <w:ind w:left="426" w:hanging="426"/>
        <w:rPr>
          <w:rFonts w:ascii="Calibri" w:hAnsi="Calibri"/>
          <w:sz w:val="18"/>
          <w:szCs w:val="18"/>
        </w:rPr>
      </w:pPr>
      <w:r w:rsidRPr="00B5305A">
        <w:rPr>
          <w:rFonts w:ascii="Calibri" w:hAnsi="Calibri"/>
          <w:sz w:val="18"/>
          <w:szCs w:val="18"/>
        </w:rPr>
        <w:t>Ability to work under pressure and demonstrate complete confidentiality</w:t>
      </w:r>
    </w:p>
    <w:p w:rsidR="000F7048" w:rsidRDefault="000F7048" w:rsidP="000F7048">
      <w:pPr>
        <w:numPr>
          <w:ilvl w:val="0"/>
          <w:numId w:val="44"/>
        </w:numPr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</w:t>
      </w:r>
      <w:r w:rsidRPr="00B5305A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qualification </w:t>
      </w:r>
      <w:r w:rsidRPr="00B5305A">
        <w:rPr>
          <w:rFonts w:ascii="Calibri" w:hAnsi="Calibri"/>
          <w:sz w:val="18"/>
          <w:szCs w:val="18"/>
        </w:rPr>
        <w:t>in either land and / or planning</w:t>
      </w:r>
      <w:r>
        <w:rPr>
          <w:rFonts w:ascii="Calibri" w:hAnsi="Calibri"/>
          <w:sz w:val="18"/>
          <w:szCs w:val="18"/>
        </w:rPr>
        <w:t xml:space="preserve"> may be advantageous</w:t>
      </w:r>
    </w:p>
    <w:p w:rsidR="000F7048" w:rsidRPr="00B5305A" w:rsidRDefault="000F7048" w:rsidP="000F7048">
      <w:pPr>
        <w:numPr>
          <w:ilvl w:val="0"/>
          <w:numId w:val="44"/>
        </w:numPr>
        <w:ind w:left="426" w:hanging="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Full driving licence and access to a car</w:t>
      </w:r>
    </w:p>
    <w:p w:rsidR="00F56AAC" w:rsidRDefault="00F56AAC" w:rsidP="00F56AAC">
      <w:pPr>
        <w:spacing w:line="276" w:lineRule="auto"/>
        <w:rPr>
          <w:rFonts w:ascii="Calibri" w:eastAsia="Calibri" w:hAnsi="Calibri"/>
          <w:b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E71A63" w:rsidRPr="00BA7F04" w:rsidRDefault="00E71A63" w:rsidP="00E71A63">
      <w:pPr>
        <w:ind w:left="-360" w:firstLine="360"/>
        <w:jc w:val="both"/>
        <w:rPr>
          <w:rFonts w:ascii="Calibri" w:hAnsi="Calibri" w:cs="Arial"/>
          <w:sz w:val="18"/>
          <w:szCs w:val="18"/>
        </w:rPr>
      </w:pPr>
      <w:r w:rsidRPr="00FC7850">
        <w:rPr>
          <w:rFonts w:ascii="Calibri" w:hAnsi="Calibri" w:cs="Arial"/>
          <w:sz w:val="18"/>
          <w:szCs w:val="18"/>
        </w:rPr>
        <w:lastRenderedPageBreak/>
        <w:t xml:space="preserve">Internal applicants – please </w:t>
      </w:r>
      <w:proofErr w:type="gramStart"/>
      <w:r w:rsidRPr="00FC7850">
        <w:rPr>
          <w:rFonts w:ascii="Calibri" w:hAnsi="Calibri" w:cs="Arial"/>
          <w:sz w:val="18"/>
          <w:szCs w:val="18"/>
        </w:rPr>
        <w:t>advise</w:t>
      </w:r>
      <w:proofErr w:type="gramEnd"/>
      <w:r w:rsidRPr="00FC7850">
        <w:rPr>
          <w:rFonts w:ascii="Calibri" w:hAnsi="Calibri" w:cs="Arial"/>
          <w:sz w:val="18"/>
          <w:szCs w:val="18"/>
        </w:rPr>
        <w:t xml:space="preserve"> your Line Manager if applying for this role.</w:t>
      </w:r>
    </w:p>
    <w:sectPr w:rsidR="00E71A63" w:rsidRPr="00BA7F04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8B5575"/>
    <w:multiLevelType w:val="hybridMultilevel"/>
    <w:tmpl w:val="71A8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5A05EB"/>
    <w:multiLevelType w:val="hybridMultilevel"/>
    <w:tmpl w:val="940279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DA7DE6"/>
    <w:multiLevelType w:val="hybridMultilevel"/>
    <w:tmpl w:val="8938CFFC"/>
    <w:lvl w:ilvl="0" w:tplc="161ED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A96B06"/>
    <w:multiLevelType w:val="hybridMultilevel"/>
    <w:tmpl w:val="4502CB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4">
    <w:nsid w:val="4F7F757D"/>
    <w:multiLevelType w:val="hybridMultilevel"/>
    <w:tmpl w:val="FBDA6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9C7812"/>
    <w:multiLevelType w:val="hybridMultilevel"/>
    <w:tmpl w:val="1C8C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2121A4"/>
    <w:multiLevelType w:val="hybridMultilevel"/>
    <w:tmpl w:val="96BAEEF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35948"/>
    <w:multiLevelType w:val="hybridMultilevel"/>
    <w:tmpl w:val="D71C0760"/>
    <w:lvl w:ilvl="0" w:tplc="A7608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9064E"/>
    <w:multiLevelType w:val="hybridMultilevel"/>
    <w:tmpl w:val="FB1279C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DD4CCE"/>
    <w:multiLevelType w:val="hybridMultilevel"/>
    <w:tmpl w:val="5F1C0A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33"/>
  </w:num>
  <w:num w:numId="4">
    <w:abstractNumId w:val="2"/>
  </w:num>
  <w:num w:numId="5">
    <w:abstractNumId w:val="8"/>
  </w:num>
  <w:num w:numId="6">
    <w:abstractNumId w:val="39"/>
  </w:num>
  <w:num w:numId="7">
    <w:abstractNumId w:val="31"/>
  </w:num>
  <w:num w:numId="8">
    <w:abstractNumId w:val="14"/>
  </w:num>
  <w:num w:numId="9">
    <w:abstractNumId w:val="38"/>
  </w:num>
  <w:num w:numId="10">
    <w:abstractNumId w:val="43"/>
  </w:num>
  <w:num w:numId="11">
    <w:abstractNumId w:val="5"/>
  </w:num>
  <w:num w:numId="12">
    <w:abstractNumId w:val="17"/>
  </w:num>
  <w:num w:numId="13">
    <w:abstractNumId w:val="11"/>
  </w:num>
  <w:num w:numId="14">
    <w:abstractNumId w:val="34"/>
  </w:num>
  <w:num w:numId="15">
    <w:abstractNumId w:val="22"/>
  </w:num>
  <w:num w:numId="16">
    <w:abstractNumId w:val="35"/>
  </w:num>
  <w:num w:numId="17">
    <w:abstractNumId w:val="26"/>
  </w:num>
  <w:num w:numId="18">
    <w:abstractNumId w:val="36"/>
  </w:num>
  <w:num w:numId="19">
    <w:abstractNumId w:val="10"/>
  </w:num>
  <w:num w:numId="20">
    <w:abstractNumId w:val="19"/>
  </w:num>
  <w:num w:numId="21">
    <w:abstractNumId w:val="21"/>
  </w:num>
  <w:num w:numId="22">
    <w:abstractNumId w:val="3"/>
  </w:num>
  <w:num w:numId="23">
    <w:abstractNumId w:val="30"/>
  </w:num>
  <w:num w:numId="24">
    <w:abstractNumId w:val="23"/>
  </w:num>
  <w:num w:numId="25">
    <w:abstractNumId w:val="12"/>
  </w:num>
  <w:num w:numId="26">
    <w:abstractNumId w:val="0"/>
  </w:num>
  <w:num w:numId="27">
    <w:abstractNumId w:val="6"/>
  </w:num>
  <w:num w:numId="28">
    <w:abstractNumId w:val="29"/>
  </w:num>
  <w:num w:numId="29">
    <w:abstractNumId w:val="25"/>
  </w:num>
  <w:num w:numId="30">
    <w:abstractNumId w:val="41"/>
  </w:num>
  <w:num w:numId="31">
    <w:abstractNumId w:val="16"/>
  </w:num>
  <w:num w:numId="32">
    <w:abstractNumId w:val="13"/>
  </w:num>
  <w:num w:numId="33">
    <w:abstractNumId w:val="15"/>
  </w:num>
  <w:num w:numId="34">
    <w:abstractNumId w:val="27"/>
  </w:num>
  <w:num w:numId="35">
    <w:abstractNumId w:val="1"/>
  </w:num>
  <w:num w:numId="36">
    <w:abstractNumId w:val="40"/>
  </w:num>
  <w:num w:numId="37">
    <w:abstractNumId w:val="20"/>
  </w:num>
  <w:num w:numId="38">
    <w:abstractNumId w:val="18"/>
  </w:num>
  <w:num w:numId="39">
    <w:abstractNumId w:val="32"/>
  </w:num>
  <w:num w:numId="40">
    <w:abstractNumId w:val="24"/>
  </w:num>
  <w:num w:numId="41">
    <w:abstractNumId w:val="42"/>
  </w:num>
  <w:num w:numId="42">
    <w:abstractNumId w:val="4"/>
  </w:num>
  <w:num w:numId="43">
    <w:abstractNumId w:val="7"/>
  </w:num>
  <w:num w:numId="44">
    <w:abstractNumId w:val="2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43D1"/>
    <w:rsid w:val="000B541E"/>
    <w:rsid w:val="000D6F59"/>
    <w:rsid w:val="000F18EC"/>
    <w:rsid w:val="000F7048"/>
    <w:rsid w:val="0010370B"/>
    <w:rsid w:val="001102F3"/>
    <w:rsid w:val="001265E9"/>
    <w:rsid w:val="00140AA0"/>
    <w:rsid w:val="001457F1"/>
    <w:rsid w:val="001601AA"/>
    <w:rsid w:val="001635C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A471F"/>
    <w:rsid w:val="003B136E"/>
    <w:rsid w:val="003F06FD"/>
    <w:rsid w:val="003F7F53"/>
    <w:rsid w:val="00404FAE"/>
    <w:rsid w:val="00490EC2"/>
    <w:rsid w:val="004A4342"/>
    <w:rsid w:val="004B5135"/>
    <w:rsid w:val="004F2272"/>
    <w:rsid w:val="004F3F97"/>
    <w:rsid w:val="00520C86"/>
    <w:rsid w:val="005244CD"/>
    <w:rsid w:val="00544400"/>
    <w:rsid w:val="00547551"/>
    <w:rsid w:val="00563316"/>
    <w:rsid w:val="0057345B"/>
    <w:rsid w:val="005C2115"/>
    <w:rsid w:val="005C7A61"/>
    <w:rsid w:val="00605ACB"/>
    <w:rsid w:val="006279E0"/>
    <w:rsid w:val="00644C05"/>
    <w:rsid w:val="00661370"/>
    <w:rsid w:val="00687B42"/>
    <w:rsid w:val="00696FE1"/>
    <w:rsid w:val="006B304F"/>
    <w:rsid w:val="006F018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8539F5"/>
    <w:rsid w:val="00894231"/>
    <w:rsid w:val="008C5081"/>
    <w:rsid w:val="008D0CA9"/>
    <w:rsid w:val="008D0FE2"/>
    <w:rsid w:val="008E273B"/>
    <w:rsid w:val="008E2745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9D3803"/>
    <w:rsid w:val="00A10E8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7B2E"/>
    <w:rsid w:val="00C01BD1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4034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1A63"/>
    <w:rsid w:val="00E71CE3"/>
    <w:rsid w:val="00E76284"/>
    <w:rsid w:val="00EB5417"/>
    <w:rsid w:val="00EB6621"/>
    <w:rsid w:val="00F0246E"/>
    <w:rsid w:val="00F117C1"/>
    <w:rsid w:val="00F27794"/>
    <w:rsid w:val="00F5637E"/>
    <w:rsid w:val="00F56AAC"/>
    <w:rsid w:val="00F65759"/>
    <w:rsid w:val="00F75915"/>
    <w:rsid w:val="00F81237"/>
    <w:rsid w:val="00F81499"/>
    <w:rsid w:val="00F81803"/>
    <w:rsid w:val="00F91958"/>
    <w:rsid w:val="00F9393E"/>
    <w:rsid w:val="00FA40F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rsid w:val="004A4342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4A4342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rsid w:val="004A4342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4A4342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1773-68DE-4C1F-A3EA-E3D7044C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3320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2016-05-16T10:05:00Z</dcterms:created>
  <dcterms:modified xsi:type="dcterms:W3CDTF">2016-05-16T10:05:00Z</dcterms:modified>
</cp:coreProperties>
</file>