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29"/>
      </w:tblGrid>
      <w:tr w:rsidR="00483215" w:rsidRPr="00C72759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483215" w:rsidRPr="00C72759" w:rsidRDefault="00483215">
            <w:pPr>
              <w:pStyle w:val="Heading7"/>
              <w:rPr>
                <w:rFonts w:ascii="Arial" w:hAnsi="Arial" w:cs="Arial"/>
                <w:sz w:val="20"/>
              </w:rPr>
            </w:pPr>
            <w:r w:rsidRPr="00C72759">
              <w:rPr>
                <w:rFonts w:ascii="Arial" w:hAnsi="Arial" w:cs="Arial"/>
                <w:sz w:val="20"/>
              </w:rPr>
              <w:t>Job Title:</w:t>
            </w:r>
          </w:p>
        </w:tc>
        <w:tc>
          <w:tcPr>
            <w:tcW w:w="7229" w:type="dxa"/>
          </w:tcPr>
          <w:p w:rsidR="00483215" w:rsidRPr="00AF29DC" w:rsidRDefault="003A52A1">
            <w:pPr>
              <w:pStyle w:val="Heading7"/>
              <w:rPr>
                <w:rFonts w:ascii="Arial" w:hAnsi="Arial" w:cs="Arial"/>
                <w:b w:val="0"/>
                <w:sz w:val="20"/>
              </w:rPr>
            </w:pPr>
            <w:r w:rsidRPr="00AF29DC">
              <w:rPr>
                <w:rFonts w:ascii="Arial" w:hAnsi="Arial" w:cs="Arial"/>
                <w:b w:val="0"/>
                <w:sz w:val="20"/>
              </w:rPr>
              <w:t xml:space="preserve">Associate </w:t>
            </w:r>
            <w:r w:rsidR="00483215" w:rsidRPr="00AF29DC">
              <w:rPr>
                <w:rFonts w:ascii="Arial" w:hAnsi="Arial" w:cs="Arial"/>
                <w:b w:val="0"/>
                <w:sz w:val="20"/>
              </w:rPr>
              <w:t>Technical Director</w:t>
            </w:r>
          </w:p>
        </w:tc>
      </w:tr>
      <w:tr w:rsidR="00483215" w:rsidRPr="00C72759" w:rsidTr="00E40914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2660" w:type="dxa"/>
            <w:shd w:val="pct12" w:color="000000" w:fill="FFFFFF"/>
          </w:tcPr>
          <w:p w:rsidR="00483215" w:rsidRPr="00C72759" w:rsidRDefault="00483215">
            <w:pPr>
              <w:rPr>
                <w:rFonts w:ascii="Arial" w:hAnsi="Arial" w:cs="Arial"/>
                <w:b/>
                <w:sz w:val="20"/>
              </w:rPr>
            </w:pPr>
            <w:r w:rsidRPr="00C72759">
              <w:rPr>
                <w:rFonts w:ascii="Arial" w:hAnsi="Arial" w:cs="Arial"/>
                <w:b/>
                <w:sz w:val="20"/>
              </w:rPr>
              <w:t>Business:</w:t>
            </w:r>
          </w:p>
        </w:tc>
        <w:tc>
          <w:tcPr>
            <w:tcW w:w="7229" w:type="dxa"/>
          </w:tcPr>
          <w:p w:rsidR="00483215" w:rsidRPr="00AF29DC" w:rsidRDefault="00C84DCC" w:rsidP="008105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Taylor Wimpey South Thames </w:t>
            </w:r>
          </w:p>
        </w:tc>
      </w:tr>
      <w:tr w:rsidR="00483215" w:rsidRPr="00C72759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483215" w:rsidRPr="00C72759" w:rsidRDefault="000C18CB">
            <w:pPr>
              <w:rPr>
                <w:rFonts w:ascii="Arial" w:hAnsi="Arial" w:cs="Arial"/>
                <w:b/>
                <w:sz w:val="20"/>
              </w:rPr>
            </w:pPr>
            <w:r w:rsidRPr="00C72759">
              <w:rPr>
                <w:rFonts w:ascii="Arial" w:hAnsi="Arial" w:cs="Arial"/>
                <w:b/>
                <w:sz w:val="20"/>
              </w:rPr>
              <w:t>Location</w:t>
            </w:r>
            <w:r w:rsidR="00483215" w:rsidRPr="00C72759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229" w:type="dxa"/>
          </w:tcPr>
          <w:p w:rsidR="00483215" w:rsidRPr="00AF29DC" w:rsidRDefault="00C84D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Leatherhead </w:t>
            </w:r>
          </w:p>
        </w:tc>
      </w:tr>
      <w:tr w:rsidR="00483215" w:rsidRPr="00C72759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483215" w:rsidRPr="00C72759" w:rsidRDefault="00483215">
            <w:pPr>
              <w:rPr>
                <w:rFonts w:ascii="Arial" w:hAnsi="Arial" w:cs="Arial"/>
                <w:b/>
                <w:sz w:val="20"/>
              </w:rPr>
            </w:pPr>
            <w:r w:rsidRPr="00C72759">
              <w:rPr>
                <w:rFonts w:ascii="Arial" w:hAnsi="Arial" w:cs="Arial"/>
                <w:b/>
                <w:sz w:val="20"/>
              </w:rPr>
              <w:t>Reports to:</w:t>
            </w:r>
          </w:p>
        </w:tc>
        <w:tc>
          <w:tcPr>
            <w:tcW w:w="7229" w:type="dxa"/>
          </w:tcPr>
          <w:p w:rsidR="00483215" w:rsidRPr="00C72759" w:rsidRDefault="00483215">
            <w:pPr>
              <w:rPr>
                <w:rFonts w:ascii="Arial" w:hAnsi="Arial" w:cs="Arial"/>
                <w:sz w:val="20"/>
              </w:rPr>
            </w:pPr>
            <w:r w:rsidRPr="00C72759">
              <w:rPr>
                <w:rFonts w:ascii="Arial" w:hAnsi="Arial" w:cs="Arial"/>
                <w:sz w:val="20"/>
              </w:rPr>
              <w:t>Regional Managing Director</w:t>
            </w:r>
          </w:p>
        </w:tc>
      </w:tr>
      <w:tr w:rsidR="00483215" w:rsidRPr="00C727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pct12" w:color="000000" w:fill="FFFFFF"/>
          </w:tcPr>
          <w:p w:rsidR="00483215" w:rsidRPr="00C72759" w:rsidRDefault="00483215">
            <w:pPr>
              <w:rPr>
                <w:rFonts w:ascii="Arial" w:hAnsi="Arial" w:cs="Arial"/>
                <w:b/>
                <w:sz w:val="20"/>
              </w:rPr>
            </w:pPr>
            <w:r w:rsidRPr="00C72759">
              <w:rPr>
                <w:rFonts w:ascii="Arial" w:hAnsi="Arial" w:cs="Arial"/>
                <w:b/>
                <w:sz w:val="20"/>
              </w:rPr>
              <w:t>Direct Reports:</w:t>
            </w:r>
          </w:p>
        </w:tc>
        <w:tc>
          <w:tcPr>
            <w:tcW w:w="7229" w:type="dxa"/>
          </w:tcPr>
          <w:p w:rsidR="00483215" w:rsidRPr="00C72759" w:rsidRDefault="00463631" w:rsidP="00A02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Senior </w:t>
            </w:r>
            <w:r w:rsidR="0057708B">
              <w:rPr>
                <w:rFonts w:ascii="Arial" w:hAnsi="Arial" w:cs="Arial"/>
                <w:sz w:val="20"/>
              </w:rPr>
              <w:t>D&amp; P</w:t>
            </w:r>
            <w:bookmarkStart w:id="0" w:name="_GoBack"/>
            <w:bookmarkEnd w:id="0"/>
            <w:r w:rsidR="0057708B">
              <w:rPr>
                <w:rFonts w:ascii="Arial" w:hAnsi="Arial" w:cs="Arial"/>
                <w:sz w:val="20"/>
              </w:rPr>
              <w:t xml:space="preserve"> Executives/Assistant Technical Co-ordinator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</w:tr>
      <w:tr w:rsidR="00483215" w:rsidRPr="00C727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pct12" w:color="000000" w:fill="FFFFFF"/>
          </w:tcPr>
          <w:p w:rsidR="00483215" w:rsidRPr="00C72759" w:rsidRDefault="00483215">
            <w:pPr>
              <w:rPr>
                <w:rFonts w:ascii="Arial" w:hAnsi="Arial" w:cs="Arial"/>
                <w:b/>
                <w:sz w:val="20"/>
              </w:rPr>
            </w:pPr>
            <w:smartTag w:uri="urn:schemas-microsoft-com:office:smarttags" w:element="place">
              <w:r w:rsidRPr="00C72759">
                <w:rPr>
                  <w:rFonts w:ascii="Arial" w:hAnsi="Arial" w:cs="Arial"/>
                  <w:b/>
                  <w:sz w:val="20"/>
                </w:rPr>
                <w:t>Main</w:t>
              </w:r>
            </w:smartTag>
            <w:r w:rsidRPr="00C72759">
              <w:rPr>
                <w:rFonts w:ascii="Arial" w:hAnsi="Arial" w:cs="Arial"/>
                <w:b/>
                <w:sz w:val="20"/>
              </w:rPr>
              <w:t xml:space="preserve"> Interfaces:</w:t>
            </w:r>
          </w:p>
        </w:tc>
        <w:tc>
          <w:tcPr>
            <w:tcW w:w="7229" w:type="dxa"/>
          </w:tcPr>
          <w:p w:rsidR="00483215" w:rsidRPr="00C72759" w:rsidRDefault="00483215">
            <w:pPr>
              <w:rPr>
                <w:rFonts w:ascii="Arial" w:hAnsi="Arial" w:cs="Arial"/>
                <w:sz w:val="20"/>
              </w:rPr>
            </w:pPr>
            <w:r w:rsidRPr="00C72759">
              <w:rPr>
                <w:rFonts w:ascii="Arial" w:hAnsi="Arial" w:cs="Arial"/>
                <w:sz w:val="20"/>
              </w:rPr>
              <w:t>External Consultants</w:t>
            </w:r>
          </w:p>
          <w:p w:rsidR="00483215" w:rsidRPr="00C72759" w:rsidRDefault="00483215">
            <w:pPr>
              <w:rPr>
                <w:rFonts w:ascii="Arial" w:hAnsi="Arial" w:cs="Arial"/>
                <w:sz w:val="20"/>
              </w:rPr>
            </w:pPr>
            <w:r w:rsidRPr="00C72759">
              <w:rPr>
                <w:rFonts w:ascii="Arial" w:hAnsi="Arial" w:cs="Arial"/>
                <w:sz w:val="20"/>
              </w:rPr>
              <w:t>Regional Department Heads</w:t>
            </w:r>
            <w:r w:rsidR="000C18CB" w:rsidRPr="00C72759">
              <w:rPr>
                <w:rFonts w:ascii="Arial" w:hAnsi="Arial" w:cs="Arial"/>
                <w:sz w:val="20"/>
              </w:rPr>
              <w:t xml:space="preserve"> / Directors</w:t>
            </w:r>
          </w:p>
          <w:p w:rsidR="00483215" w:rsidRPr="00C72759" w:rsidRDefault="00483215">
            <w:pPr>
              <w:rPr>
                <w:rFonts w:ascii="Arial" w:hAnsi="Arial" w:cs="Arial"/>
                <w:sz w:val="20"/>
              </w:rPr>
            </w:pPr>
            <w:r w:rsidRPr="00C72759">
              <w:rPr>
                <w:rFonts w:ascii="Arial" w:hAnsi="Arial" w:cs="Arial"/>
                <w:sz w:val="20"/>
              </w:rPr>
              <w:t>Technical Services</w:t>
            </w:r>
          </w:p>
          <w:p w:rsidR="00483215" w:rsidRPr="00C72759" w:rsidRDefault="00483215">
            <w:pPr>
              <w:rPr>
                <w:rFonts w:ascii="Arial" w:hAnsi="Arial" w:cs="Arial"/>
                <w:sz w:val="20"/>
              </w:rPr>
            </w:pPr>
            <w:r w:rsidRPr="00C72759">
              <w:rPr>
                <w:rFonts w:ascii="Arial" w:hAnsi="Arial" w:cs="Arial"/>
                <w:sz w:val="20"/>
              </w:rPr>
              <w:t>Government Departments, Regulatory Bodies, Planning Authority, Highways Authority, NHBC</w:t>
            </w:r>
          </w:p>
        </w:tc>
      </w:tr>
    </w:tbl>
    <w:p w:rsidR="00483215" w:rsidRPr="00C72759" w:rsidRDefault="0048321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83215" w:rsidRPr="00C72759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483215" w:rsidRPr="00C72759" w:rsidRDefault="00483215">
            <w:pPr>
              <w:pStyle w:val="Heading1"/>
              <w:jc w:val="center"/>
              <w:rPr>
                <w:rFonts w:ascii="Arial" w:hAnsi="Arial" w:cs="Arial"/>
                <w:sz w:val="20"/>
                <w:u w:val="none"/>
              </w:rPr>
            </w:pPr>
            <w:r w:rsidRPr="00C72759">
              <w:rPr>
                <w:rFonts w:ascii="Arial" w:hAnsi="Arial" w:cs="Arial"/>
                <w:sz w:val="20"/>
                <w:u w:val="none"/>
              </w:rPr>
              <w:t>Overall Purpose</w:t>
            </w:r>
          </w:p>
        </w:tc>
      </w:tr>
      <w:tr w:rsidR="00483215" w:rsidRPr="00C72759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483215" w:rsidRPr="00C72759" w:rsidRDefault="00483215">
            <w:pPr>
              <w:pStyle w:val="BodyText"/>
              <w:rPr>
                <w:rFonts w:ascii="Arial" w:hAnsi="Arial" w:cs="Arial"/>
                <w:sz w:val="20"/>
              </w:rPr>
            </w:pPr>
            <w:r w:rsidRPr="00C72759">
              <w:rPr>
                <w:rFonts w:ascii="Arial" w:hAnsi="Arial" w:cs="Arial"/>
                <w:sz w:val="20"/>
              </w:rPr>
              <w:t xml:space="preserve">The </w:t>
            </w:r>
            <w:r w:rsidR="003A52A1">
              <w:rPr>
                <w:rFonts w:ascii="Arial" w:hAnsi="Arial" w:cs="Arial"/>
                <w:sz w:val="20"/>
              </w:rPr>
              <w:t xml:space="preserve">Associate </w:t>
            </w:r>
            <w:r w:rsidRPr="00C72759">
              <w:rPr>
                <w:rFonts w:ascii="Arial" w:hAnsi="Arial" w:cs="Arial"/>
                <w:sz w:val="20"/>
              </w:rPr>
              <w:t>Technical Director is responsible for the co-ordination of architectural and engineering functions within the Regional office.  Their du</w:t>
            </w:r>
            <w:r w:rsidR="00711BC6" w:rsidRPr="00C72759">
              <w:rPr>
                <w:rFonts w:ascii="Arial" w:hAnsi="Arial" w:cs="Arial"/>
                <w:sz w:val="20"/>
              </w:rPr>
              <w:t xml:space="preserve">ties shall </w:t>
            </w:r>
            <w:r w:rsidRPr="00C72759">
              <w:rPr>
                <w:rFonts w:ascii="Arial" w:hAnsi="Arial" w:cs="Arial"/>
                <w:sz w:val="20"/>
              </w:rPr>
              <w:t xml:space="preserve">include </w:t>
            </w:r>
            <w:r w:rsidR="007B7383" w:rsidRPr="00C72759">
              <w:rPr>
                <w:rFonts w:ascii="Arial" w:hAnsi="Arial" w:cs="Arial"/>
                <w:sz w:val="20"/>
              </w:rPr>
              <w:t xml:space="preserve">the </w:t>
            </w:r>
            <w:r w:rsidRPr="00C72759">
              <w:rPr>
                <w:rFonts w:ascii="Arial" w:hAnsi="Arial" w:cs="Arial"/>
                <w:sz w:val="20"/>
              </w:rPr>
              <w:t>co-ordinati</w:t>
            </w:r>
            <w:r w:rsidR="007B7383" w:rsidRPr="00C72759">
              <w:rPr>
                <w:rFonts w:ascii="Arial" w:hAnsi="Arial" w:cs="Arial"/>
                <w:sz w:val="20"/>
              </w:rPr>
              <w:t>on and discharge of all necessary conditions attached to both the planning permissions and building regulation/warranty approvals for each scheme</w:t>
            </w:r>
            <w:r w:rsidR="00B8309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483215" w:rsidRPr="00C72759" w:rsidRDefault="0048321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83215" w:rsidRPr="00C72759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483215" w:rsidRPr="00C72759" w:rsidRDefault="00483215">
            <w:pPr>
              <w:pStyle w:val="Heading1"/>
              <w:rPr>
                <w:rFonts w:ascii="Arial" w:hAnsi="Arial" w:cs="Arial"/>
                <w:sz w:val="20"/>
                <w:u w:val="none"/>
              </w:rPr>
            </w:pPr>
            <w:r w:rsidRPr="00C72759">
              <w:rPr>
                <w:rFonts w:ascii="Arial" w:hAnsi="Arial" w:cs="Arial"/>
                <w:sz w:val="20"/>
                <w:u w:val="none"/>
              </w:rPr>
              <w:t>Team Management</w:t>
            </w:r>
          </w:p>
        </w:tc>
      </w:tr>
      <w:tr w:rsidR="00483215" w:rsidRPr="00C72759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483215" w:rsidRPr="00C72759" w:rsidRDefault="00483215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72759">
              <w:rPr>
                <w:rFonts w:ascii="Arial" w:hAnsi="Arial" w:cs="Arial"/>
                <w:sz w:val="20"/>
              </w:rPr>
              <w:t xml:space="preserve">Responsible for the performance of the </w:t>
            </w:r>
            <w:r w:rsidR="00B83096">
              <w:rPr>
                <w:rFonts w:ascii="Arial" w:hAnsi="Arial" w:cs="Arial"/>
                <w:sz w:val="20"/>
              </w:rPr>
              <w:t>t</w:t>
            </w:r>
            <w:r w:rsidRPr="00C72759">
              <w:rPr>
                <w:rFonts w:ascii="Arial" w:hAnsi="Arial" w:cs="Arial"/>
                <w:sz w:val="20"/>
              </w:rPr>
              <w:t xml:space="preserve">eam in delivering technical design and approvals required for </w:t>
            </w:r>
            <w:r w:rsidR="00B83096">
              <w:rPr>
                <w:rFonts w:ascii="Arial" w:hAnsi="Arial" w:cs="Arial"/>
                <w:sz w:val="20"/>
              </w:rPr>
              <w:t xml:space="preserve">all projects within the Region.  </w:t>
            </w:r>
            <w:r w:rsidRPr="00C72759">
              <w:rPr>
                <w:rFonts w:ascii="Arial" w:hAnsi="Arial" w:cs="Arial"/>
                <w:sz w:val="20"/>
              </w:rPr>
              <w:t xml:space="preserve">Must be commercially aware working with established budgets to provide a </w:t>
            </w:r>
            <w:r w:rsidR="00B83096">
              <w:rPr>
                <w:rFonts w:ascii="Arial" w:hAnsi="Arial" w:cs="Arial"/>
                <w:sz w:val="20"/>
              </w:rPr>
              <w:t>cost effective team performance</w:t>
            </w:r>
            <w:r w:rsidR="00463631">
              <w:rPr>
                <w:rFonts w:ascii="Arial" w:hAnsi="Arial" w:cs="Arial"/>
                <w:sz w:val="20"/>
              </w:rPr>
              <w:t xml:space="preserve"> and within the time requirements of the relevant projects</w:t>
            </w:r>
          </w:p>
          <w:p w:rsidR="004243F0" w:rsidRDefault="004243F0" w:rsidP="004243F0">
            <w:pPr>
              <w:rPr>
                <w:rFonts w:ascii="Arial" w:hAnsi="Arial"/>
                <w:sz w:val="20"/>
              </w:rPr>
            </w:pPr>
            <w:r w:rsidRPr="00C72759">
              <w:rPr>
                <w:rFonts w:ascii="Arial" w:hAnsi="Arial"/>
                <w:sz w:val="20"/>
              </w:rPr>
              <w:t>Ensure that all project meetings with other departments are arranged and managed in a timely and efficient manner, ensuring all relevant action points are noted and recorded (e</w:t>
            </w:r>
            <w:r w:rsidR="000D1AEA">
              <w:rPr>
                <w:rFonts w:ascii="Arial" w:hAnsi="Arial"/>
                <w:sz w:val="20"/>
              </w:rPr>
              <w:t>.</w:t>
            </w:r>
            <w:r w:rsidRPr="00C72759">
              <w:rPr>
                <w:rFonts w:ascii="Arial" w:hAnsi="Arial"/>
                <w:sz w:val="20"/>
              </w:rPr>
              <w:t xml:space="preserve">g. pre-distribution of information </w:t>
            </w:r>
            <w:r w:rsidR="000D1AEA" w:rsidRPr="00C72759">
              <w:rPr>
                <w:rFonts w:ascii="Arial" w:hAnsi="Arial"/>
                <w:sz w:val="20"/>
              </w:rPr>
              <w:t>etc.</w:t>
            </w:r>
            <w:r w:rsidRPr="00C72759">
              <w:rPr>
                <w:rFonts w:ascii="Arial" w:hAnsi="Arial"/>
                <w:sz w:val="20"/>
              </w:rPr>
              <w:t>).</w:t>
            </w:r>
          </w:p>
          <w:p w:rsidR="0057708B" w:rsidRDefault="0057708B" w:rsidP="004243F0">
            <w:pPr>
              <w:rPr>
                <w:rFonts w:ascii="Arial" w:hAnsi="Arial"/>
                <w:sz w:val="20"/>
              </w:rPr>
            </w:pPr>
          </w:p>
          <w:p w:rsidR="0057708B" w:rsidRDefault="0057708B" w:rsidP="004243F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Drive the success of Design Team Meetings by ensuring full attendance and creating a participative, challenging and constructive environment.</w:t>
            </w:r>
          </w:p>
          <w:p w:rsidR="0057708B" w:rsidRPr="00C72759" w:rsidRDefault="0057708B" w:rsidP="004243F0">
            <w:pPr>
              <w:rPr>
                <w:rFonts w:ascii="Arial" w:hAnsi="Arial"/>
                <w:sz w:val="20"/>
              </w:rPr>
            </w:pPr>
          </w:p>
          <w:p w:rsidR="00711BC6" w:rsidRPr="00C72759" w:rsidRDefault="00711BC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72759">
              <w:rPr>
                <w:rFonts w:ascii="Arial" w:hAnsi="Arial" w:cs="Arial"/>
                <w:sz w:val="20"/>
              </w:rPr>
              <w:t xml:space="preserve">Ensure that all technical staff </w:t>
            </w:r>
            <w:proofErr w:type="gramStart"/>
            <w:r w:rsidRPr="00C72759">
              <w:rPr>
                <w:rFonts w:ascii="Arial" w:hAnsi="Arial" w:cs="Arial"/>
                <w:sz w:val="20"/>
              </w:rPr>
              <w:t>are</w:t>
            </w:r>
            <w:proofErr w:type="gramEnd"/>
            <w:r w:rsidRPr="00C72759">
              <w:rPr>
                <w:rFonts w:ascii="Arial" w:hAnsi="Arial" w:cs="Arial"/>
                <w:sz w:val="20"/>
              </w:rPr>
              <w:t xml:space="preserve"> aware of the health and safety implications of every design decision.  </w:t>
            </w:r>
          </w:p>
          <w:p w:rsidR="00DA65FE" w:rsidRPr="00C72759" w:rsidRDefault="00DA65F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72759">
              <w:rPr>
                <w:rFonts w:ascii="Arial" w:hAnsi="Arial" w:cs="Arial"/>
                <w:sz w:val="20"/>
              </w:rPr>
              <w:t>In conjunction with other Board</w:t>
            </w:r>
            <w:r w:rsidR="0057708B">
              <w:rPr>
                <w:rFonts w:ascii="Arial" w:hAnsi="Arial" w:cs="Arial"/>
                <w:sz w:val="20"/>
              </w:rPr>
              <w:t xml:space="preserve"> members undertake monthly site visits</w:t>
            </w:r>
            <w:r w:rsidRPr="00C72759">
              <w:rPr>
                <w:rFonts w:ascii="Arial" w:hAnsi="Arial" w:cs="Arial"/>
                <w:sz w:val="20"/>
              </w:rPr>
              <w:t xml:space="preserve">.  </w:t>
            </w:r>
          </w:p>
          <w:p w:rsidR="00DA65FE" w:rsidRPr="00C72759" w:rsidRDefault="00DA65F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72759">
              <w:rPr>
                <w:rFonts w:ascii="Arial" w:hAnsi="Arial" w:cs="Arial"/>
                <w:sz w:val="20"/>
              </w:rPr>
              <w:t xml:space="preserve">Ensure training and development of technical staff to continually improve performance.  </w:t>
            </w:r>
          </w:p>
        </w:tc>
      </w:tr>
    </w:tbl>
    <w:p w:rsidR="00483215" w:rsidRPr="00C72759" w:rsidRDefault="0048321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83215" w:rsidRPr="00C72759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483215" w:rsidRPr="00C72759" w:rsidRDefault="00483215">
            <w:pPr>
              <w:pStyle w:val="Heading1"/>
              <w:rPr>
                <w:rFonts w:ascii="Arial" w:hAnsi="Arial" w:cs="Arial"/>
                <w:sz w:val="20"/>
                <w:u w:val="none"/>
              </w:rPr>
            </w:pPr>
            <w:r w:rsidRPr="00C72759">
              <w:rPr>
                <w:rFonts w:ascii="Arial" w:hAnsi="Arial" w:cs="Arial"/>
                <w:sz w:val="20"/>
                <w:u w:val="none"/>
              </w:rPr>
              <w:t>Communication</w:t>
            </w:r>
          </w:p>
        </w:tc>
      </w:tr>
      <w:tr w:rsidR="00483215" w:rsidRPr="00C72759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483215" w:rsidRPr="00C72759" w:rsidRDefault="00483215">
            <w:pPr>
              <w:spacing w:before="120" w:after="40"/>
              <w:rPr>
                <w:rFonts w:ascii="Arial" w:hAnsi="Arial" w:cs="Arial"/>
                <w:sz w:val="20"/>
              </w:rPr>
            </w:pPr>
            <w:r w:rsidRPr="00C72759">
              <w:rPr>
                <w:rFonts w:ascii="Arial" w:hAnsi="Arial" w:cs="Arial"/>
                <w:sz w:val="20"/>
              </w:rPr>
              <w:t xml:space="preserve">Communicate well with staff, Department Heads, external consultants and other bodies. </w:t>
            </w:r>
            <w:r w:rsidR="00B83096">
              <w:rPr>
                <w:rFonts w:ascii="Arial" w:hAnsi="Arial" w:cs="Arial"/>
                <w:sz w:val="20"/>
              </w:rPr>
              <w:t xml:space="preserve"> </w:t>
            </w:r>
            <w:r w:rsidRPr="00C72759">
              <w:rPr>
                <w:rFonts w:ascii="Arial" w:hAnsi="Arial" w:cs="Arial"/>
                <w:sz w:val="20"/>
              </w:rPr>
              <w:t xml:space="preserve">Provide technical support to the Production Department during development of the sites. </w:t>
            </w:r>
            <w:r w:rsidR="00B83096">
              <w:rPr>
                <w:rFonts w:ascii="Arial" w:hAnsi="Arial" w:cs="Arial"/>
                <w:sz w:val="20"/>
              </w:rPr>
              <w:t xml:space="preserve"> </w:t>
            </w:r>
            <w:r w:rsidRPr="00C72759">
              <w:rPr>
                <w:rFonts w:ascii="Arial" w:hAnsi="Arial" w:cs="Arial"/>
                <w:sz w:val="20"/>
              </w:rPr>
              <w:t>Provide technical support to the Land Department for scheme appraisals.</w:t>
            </w:r>
            <w:r w:rsidR="00DA65FE" w:rsidRPr="00C72759">
              <w:rPr>
                <w:rFonts w:ascii="Arial" w:hAnsi="Arial" w:cs="Arial"/>
                <w:sz w:val="20"/>
              </w:rPr>
              <w:t xml:space="preserve">  Provide technical support to Sales in production of Brochures.  </w:t>
            </w:r>
          </w:p>
          <w:p w:rsidR="004243F0" w:rsidRPr="00C72759" w:rsidRDefault="00711BC6" w:rsidP="004243F0">
            <w:pPr>
              <w:rPr>
                <w:rFonts w:ascii="Arial" w:hAnsi="Arial"/>
                <w:sz w:val="20"/>
              </w:rPr>
            </w:pPr>
            <w:r w:rsidRPr="00C72759">
              <w:rPr>
                <w:rFonts w:ascii="Arial" w:hAnsi="Arial"/>
                <w:sz w:val="20"/>
              </w:rPr>
              <w:t xml:space="preserve">Ensure programmes and documents are prepared and maintained for the monitoring of progress and for use in reporting to the </w:t>
            </w:r>
            <w:r w:rsidR="004243F0" w:rsidRPr="00C72759">
              <w:rPr>
                <w:rFonts w:ascii="Arial" w:hAnsi="Arial"/>
                <w:sz w:val="20"/>
              </w:rPr>
              <w:t>Board of Directors</w:t>
            </w:r>
            <w:r w:rsidRPr="00C72759">
              <w:rPr>
                <w:rFonts w:ascii="Arial" w:hAnsi="Arial"/>
                <w:sz w:val="20"/>
              </w:rPr>
              <w:t>.</w:t>
            </w:r>
          </w:p>
          <w:p w:rsidR="004243F0" w:rsidRPr="00C72759" w:rsidRDefault="004243F0" w:rsidP="004243F0">
            <w:pPr>
              <w:rPr>
                <w:rFonts w:ascii="Arial" w:hAnsi="Arial"/>
                <w:sz w:val="20"/>
              </w:rPr>
            </w:pPr>
            <w:r w:rsidRPr="00C72759">
              <w:rPr>
                <w:rFonts w:ascii="Arial" w:hAnsi="Arial"/>
                <w:sz w:val="20"/>
              </w:rPr>
              <w:t>Advise the Board of Directors on changes in technical matters and / or competitor’s product.</w:t>
            </w:r>
          </w:p>
          <w:p w:rsidR="004243F0" w:rsidRPr="00C72759" w:rsidRDefault="004243F0" w:rsidP="004243F0">
            <w:pPr>
              <w:rPr>
                <w:rFonts w:ascii="Arial" w:hAnsi="Arial"/>
                <w:sz w:val="20"/>
              </w:rPr>
            </w:pPr>
          </w:p>
        </w:tc>
      </w:tr>
    </w:tbl>
    <w:p w:rsidR="00483215" w:rsidRPr="00C72759" w:rsidRDefault="0048321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483215" w:rsidRPr="00C72759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25" w:color="auto" w:fill="auto"/>
          </w:tcPr>
          <w:p w:rsidR="00483215" w:rsidRPr="00C72759" w:rsidRDefault="00483215">
            <w:pPr>
              <w:spacing w:before="120" w:after="40"/>
              <w:rPr>
                <w:rFonts w:ascii="Arial" w:hAnsi="Arial" w:cs="Arial"/>
                <w:sz w:val="20"/>
              </w:rPr>
            </w:pPr>
            <w:r w:rsidRPr="00C72759">
              <w:rPr>
                <w:rFonts w:ascii="Arial" w:hAnsi="Arial" w:cs="Arial"/>
                <w:b/>
                <w:bCs/>
                <w:sz w:val="20"/>
              </w:rPr>
              <w:t>Financial Accountability:</w:t>
            </w:r>
          </w:p>
        </w:tc>
      </w:tr>
      <w:tr w:rsidR="00483215" w:rsidRPr="00C72759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483215" w:rsidRPr="00C72759" w:rsidRDefault="00483215">
            <w:pPr>
              <w:spacing w:before="120" w:after="40"/>
              <w:rPr>
                <w:rFonts w:ascii="Arial" w:hAnsi="Arial" w:cs="Arial"/>
                <w:sz w:val="20"/>
              </w:rPr>
            </w:pPr>
            <w:r w:rsidRPr="00C72759">
              <w:rPr>
                <w:rFonts w:ascii="Arial" w:hAnsi="Arial" w:cs="Arial"/>
                <w:sz w:val="20"/>
              </w:rPr>
              <w:t xml:space="preserve">Must be able to manage budgets, professional fees and staff costs. </w:t>
            </w:r>
            <w:r w:rsidR="00B83096">
              <w:rPr>
                <w:rFonts w:ascii="Arial" w:hAnsi="Arial" w:cs="Arial"/>
                <w:sz w:val="20"/>
              </w:rPr>
              <w:t xml:space="preserve"> </w:t>
            </w:r>
            <w:r w:rsidRPr="00C72759">
              <w:rPr>
                <w:rFonts w:ascii="Arial" w:hAnsi="Arial" w:cs="Arial"/>
                <w:sz w:val="20"/>
              </w:rPr>
              <w:t xml:space="preserve">Must provide a cost effective service, carefully controlling expenditure and Regional overheads. </w:t>
            </w:r>
            <w:r w:rsidR="00B83096">
              <w:rPr>
                <w:rFonts w:ascii="Arial" w:hAnsi="Arial" w:cs="Arial"/>
                <w:sz w:val="20"/>
              </w:rPr>
              <w:t xml:space="preserve"> </w:t>
            </w:r>
            <w:r w:rsidRPr="00C72759">
              <w:rPr>
                <w:rFonts w:ascii="Arial" w:hAnsi="Arial" w:cs="Arial"/>
                <w:sz w:val="20"/>
              </w:rPr>
              <w:t xml:space="preserve">Should be aware of corporate objectives and financial requirements concentrating on providing forecast profits in line with Regional expectations. </w:t>
            </w:r>
            <w:r w:rsidR="00B83096">
              <w:rPr>
                <w:rFonts w:ascii="Arial" w:hAnsi="Arial" w:cs="Arial"/>
                <w:sz w:val="20"/>
              </w:rPr>
              <w:t xml:space="preserve"> </w:t>
            </w:r>
            <w:r w:rsidRPr="00C72759">
              <w:rPr>
                <w:rFonts w:ascii="Arial" w:hAnsi="Arial" w:cs="Arial"/>
                <w:sz w:val="20"/>
              </w:rPr>
              <w:t>Must manage all designs to ensure forecast Regional financial completion numbers are achieved.</w:t>
            </w:r>
            <w:r w:rsidR="00711BC6" w:rsidRPr="00C72759">
              <w:rPr>
                <w:rFonts w:ascii="Arial" w:hAnsi="Arial" w:cs="Arial"/>
                <w:sz w:val="20"/>
              </w:rPr>
              <w:t xml:space="preserve">  </w:t>
            </w:r>
          </w:p>
          <w:p w:rsidR="00711BC6" w:rsidRPr="00C72759" w:rsidRDefault="00711BC6">
            <w:pPr>
              <w:spacing w:before="120" w:after="40"/>
              <w:rPr>
                <w:rFonts w:ascii="Arial" w:hAnsi="Arial" w:cs="Arial"/>
                <w:sz w:val="20"/>
              </w:rPr>
            </w:pPr>
            <w:r w:rsidRPr="00C72759">
              <w:rPr>
                <w:rFonts w:ascii="Arial" w:hAnsi="Arial" w:cs="Arial"/>
                <w:sz w:val="20"/>
              </w:rPr>
              <w:t xml:space="preserve">Must ensure that a value management strategy is in place for each project and that it maximises value and manages cost at every design stage.  </w:t>
            </w:r>
          </w:p>
          <w:p w:rsidR="00483215" w:rsidRPr="00C72759" w:rsidRDefault="00483215">
            <w:pPr>
              <w:spacing w:after="40"/>
              <w:ind w:left="360"/>
              <w:rPr>
                <w:rFonts w:ascii="Arial" w:hAnsi="Arial" w:cs="Arial"/>
                <w:sz w:val="20"/>
              </w:rPr>
            </w:pPr>
          </w:p>
        </w:tc>
      </w:tr>
    </w:tbl>
    <w:p w:rsidR="00483215" w:rsidRPr="00C72759" w:rsidRDefault="0048321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483215" w:rsidRPr="00C72759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25" w:color="auto" w:fill="auto"/>
          </w:tcPr>
          <w:p w:rsidR="00483215" w:rsidRPr="00C72759" w:rsidRDefault="00483215">
            <w:pPr>
              <w:pStyle w:val="Heading2"/>
              <w:rPr>
                <w:rFonts w:ascii="Arial" w:hAnsi="Arial" w:cs="Arial"/>
                <w:b/>
                <w:bCs/>
                <w:sz w:val="20"/>
                <w:u w:val="none"/>
              </w:rPr>
            </w:pPr>
            <w:r w:rsidRPr="00C72759">
              <w:rPr>
                <w:rFonts w:ascii="Arial" w:hAnsi="Arial" w:cs="Arial"/>
                <w:b/>
                <w:bCs/>
                <w:sz w:val="20"/>
                <w:u w:val="none"/>
              </w:rPr>
              <w:t xml:space="preserve">People Management &amp; Leadership </w:t>
            </w:r>
          </w:p>
        </w:tc>
      </w:tr>
      <w:tr w:rsidR="00483215" w:rsidRPr="00C72759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483215" w:rsidRPr="00C72759" w:rsidRDefault="00483215">
            <w:pPr>
              <w:spacing w:before="120" w:after="40"/>
              <w:rPr>
                <w:rFonts w:ascii="Arial" w:hAnsi="Arial" w:cs="Arial"/>
                <w:sz w:val="20"/>
              </w:rPr>
            </w:pPr>
            <w:r w:rsidRPr="00C72759">
              <w:rPr>
                <w:rFonts w:ascii="Arial" w:hAnsi="Arial" w:cs="Arial"/>
                <w:sz w:val="20"/>
              </w:rPr>
              <w:t>Must be able to communicate well at al</w:t>
            </w:r>
            <w:r w:rsidR="00B83096">
              <w:rPr>
                <w:rFonts w:ascii="Arial" w:hAnsi="Arial" w:cs="Arial"/>
                <w:sz w:val="20"/>
              </w:rPr>
              <w:t>l levels internally within the G</w:t>
            </w:r>
            <w:r w:rsidRPr="00C72759">
              <w:rPr>
                <w:rFonts w:ascii="Arial" w:hAnsi="Arial" w:cs="Arial"/>
                <w:sz w:val="20"/>
              </w:rPr>
              <w:t xml:space="preserve">roup and externally with public bodies. Will be a member of the Regional Management team. </w:t>
            </w:r>
            <w:r w:rsidR="00B83096">
              <w:rPr>
                <w:rFonts w:ascii="Arial" w:hAnsi="Arial" w:cs="Arial"/>
                <w:sz w:val="20"/>
              </w:rPr>
              <w:t xml:space="preserve"> </w:t>
            </w:r>
            <w:r w:rsidRPr="00C72759">
              <w:rPr>
                <w:rFonts w:ascii="Arial" w:hAnsi="Arial" w:cs="Arial"/>
                <w:sz w:val="20"/>
              </w:rPr>
              <w:t>To directly manage the Technical staff promoting a stron</w:t>
            </w:r>
            <w:r w:rsidR="00B83096">
              <w:rPr>
                <w:rFonts w:ascii="Arial" w:hAnsi="Arial" w:cs="Arial"/>
                <w:sz w:val="20"/>
              </w:rPr>
              <w:t>g team spirit and ensuring the D</w:t>
            </w:r>
            <w:r w:rsidRPr="00C72759">
              <w:rPr>
                <w:rFonts w:ascii="Arial" w:hAnsi="Arial" w:cs="Arial"/>
                <w:sz w:val="20"/>
              </w:rPr>
              <w:t>epartment is a key player in the performance of the Region.</w:t>
            </w:r>
          </w:p>
        </w:tc>
      </w:tr>
    </w:tbl>
    <w:p w:rsidR="00483215" w:rsidRPr="00C72759" w:rsidRDefault="0048321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483215" w:rsidRPr="00C72759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25" w:color="auto" w:fill="auto"/>
          </w:tcPr>
          <w:p w:rsidR="00483215" w:rsidRPr="00C72759" w:rsidRDefault="00483215">
            <w:pPr>
              <w:pStyle w:val="Heading2"/>
              <w:rPr>
                <w:rFonts w:ascii="Arial" w:hAnsi="Arial" w:cs="Arial"/>
                <w:b/>
                <w:bCs/>
                <w:sz w:val="20"/>
                <w:u w:val="none"/>
              </w:rPr>
            </w:pPr>
            <w:r w:rsidRPr="00C72759">
              <w:rPr>
                <w:rFonts w:ascii="Arial" w:hAnsi="Arial" w:cs="Arial"/>
                <w:b/>
                <w:bCs/>
                <w:sz w:val="20"/>
                <w:u w:val="none"/>
              </w:rPr>
              <w:lastRenderedPageBreak/>
              <w:t>Business Development Strategy</w:t>
            </w:r>
          </w:p>
        </w:tc>
      </w:tr>
      <w:tr w:rsidR="00483215" w:rsidRPr="00C72759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483215" w:rsidRPr="00C72759" w:rsidRDefault="00483215">
            <w:pPr>
              <w:spacing w:before="120" w:after="40"/>
              <w:rPr>
                <w:rFonts w:ascii="Arial" w:hAnsi="Arial" w:cs="Arial"/>
                <w:sz w:val="20"/>
              </w:rPr>
            </w:pPr>
            <w:r w:rsidRPr="00C72759">
              <w:rPr>
                <w:rFonts w:ascii="Arial" w:hAnsi="Arial" w:cs="Arial"/>
                <w:sz w:val="20"/>
              </w:rPr>
              <w:t xml:space="preserve">Should effectively use resources, programme and prioritise work to ensure that delays do not occur through the life of the project from feasibility to site completion. </w:t>
            </w:r>
            <w:r w:rsidR="00B83096">
              <w:rPr>
                <w:rFonts w:ascii="Arial" w:hAnsi="Arial" w:cs="Arial"/>
                <w:sz w:val="20"/>
              </w:rPr>
              <w:t xml:space="preserve"> </w:t>
            </w:r>
            <w:r w:rsidRPr="00C72759">
              <w:rPr>
                <w:rFonts w:ascii="Arial" w:hAnsi="Arial" w:cs="Arial"/>
                <w:sz w:val="20"/>
              </w:rPr>
              <w:t xml:space="preserve">Should have understanding of the corporate vision and strategic policies. </w:t>
            </w:r>
            <w:r w:rsidR="00B83096">
              <w:rPr>
                <w:rFonts w:ascii="Arial" w:hAnsi="Arial" w:cs="Arial"/>
                <w:sz w:val="20"/>
              </w:rPr>
              <w:t xml:space="preserve"> </w:t>
            </w:r>
            <w:r w:rsidRPr="00C72759">
              <w:rPr>
                <w:rFonts w:ascii="Arial" w:hAnsi="Arial" w:cs="Arial"/>
                <w:sz w:val="20"/>
              </w:rPr>
              <w:t>Must programme all work to ensure the Region</w:t>
            </w:r>
            <w:r w:rsidR="00B83096">
              <w:rPr>
                <w:rFonts w:ascii="Arial" w:hAnsi="Arial" w:cs="Arial"/>
                <w:sz w:val="20"/>
              </w:rPr>
              <w:t>’</w:t>
            </w:r>
            <w:r w:rsidRPr="00C72759">
              <w:rPr>
                <w:rFonts w:ascii="Arial" w:hAnsi="Arial" w:cs="Arial"/>
                <w:sz w:val="20"/>
              </w:rPr>
              <w:t>s approved forecasts are achieved.</w:t>
            </w:r>
          </w:p>
        </w:tc>
      </w:tr>
    </w:tbl>
    <w:p w:rsidR="00483215" w:rsidRPr="00C72759" w:rsidRDefault="00483215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483215" w:rsidRPr="00C72759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25" w:color="auto" w:fill="auto"/>
          </w:tcPr>
          <w:p w:rsidR="00483215" w:rsidRPr="00C72759" w:rsidRDefault="00483215">
            <w:pPr>
              <w:pStyle w:val="Heading2"/>
              <w:rPr>
                <w:rFonts w:ascii="Arial" w:hAnsi="Arial" w:cs="Arial"/>
                <w:b/>
                <w:bCs/>
                <w:sz w:val="20"/>
                <w:u w:val="none"/>
              </w:rPr>
            </w:pPr>
            <w:r w:rsidRPr="00C72759">
              <w:rPr>
                <w:rFonts w:ascii="Arial" w:hAnsi="Arial" w:cs="Arial"/>
                <w:b/>
                <w:bCs/>
                <w:sz w:val="20"/>
                <w:u w:val="none"/>
              </w:rPr>
              <w:t>Management of Change</w:t>
            </w:r>
          </w:p>
        </w:tc>
      </w:tr>
      <w:tr w:rsidR="00483215" w:rsidRPr="00C72759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483215" w:rsidRPr="00C72759" w:rsidRDefault="00483215">
            <w:pPr>
              <w:spacing w:before="120" w:after="40"/>
              <w:rPr>
                <w:rFonts w:ascii="Arial" w:hAnsi="Arial" w:cs="Arial"/>
                <w:sz w:val="20"/>
              </w:rPr>
            </w:pPr>
            <w:r w:rsidRPr="00C72759">
              <w:rPr>
                <w:rFonts w:ascii="Arial" w:hAnsi="Arial" w:cs="Arial"/>
                <w:sz w:val="20"/>
              </w:rPr>
              <w:t>The</w:t>
            </w:r>
            <w:r w:rsidR="0057708B">
              <w:rPr>
                <w:rFonts w:ascii="Arial" w:hAnsi="Arial" w:cs="Arial"/>
                <w:sz w:val="20"/>
              </w:rPr>
              <w:t xml:space="preserve"> Associate </w:t>
            </w:r>
            <w:r w:rsidRPr="00C72759">
              <w:rPr>
                <w:rFonts w:ascii="Arial" w:hAnsi="Arial" w:cs="Arial"/>
                <w:sz w:val="20"/>
              </w:rPr>
              <w:t xml:space="preserve">Technical Director must provide value engineered solutions to problems encountered and encourage innovation and constant development within his team. </w:t>
            </w:r>
            <w:r w:rsidR="00B83096">
              <w:rPr>
                <w:rFonts w:ascii="Arial" w:hAnsi="Arial" w:cs="Arial"/>
                <w:sz w:val="20"/>
              </w:rPr>
              <w:t xml:space="preserve"> </w:t>
            </w:r>
            <w:r w:rsidRPr="00C72759">
              <w:rPr>
                <w:rFonts w:ascii="Arial" w:hAnsi="Arial" w:cs="Arial"/>
                <w:sz w:val="20"/>
              </w:rPr>
              <w:t xml:space="preserve">The demand of the </w:t>
            </w:r>
            <w:r w:rsidR="00B83096">
              <w:rPr>
                <w:rFonts w:ascii="Arial" w:hAnsi="Arial" w:cs="Arial"/>
                <w:sz w:val="20"/>
              </w:rPr>
              <w:t>D</w:t>
            </w:r>
            <w:r w:rsidRPr="00C72759">
              <w:rPr>
                <w:rFonts w:ascii="Arial" w:hAnsi="Arial" w:cs="Arial"/>
                <w:sz w:val="20"/>
              </w:rPr>
              <w:t>epartment will vary as corporate, national and regional policies change and the Director must have the vision to plan and manage for all future needs.</w:t>
            </w:r>
          </w:p>
          <w:p w:rsidR="00483215" w:rsidRPr="00C72759" w:rsidRDefault="00483215">
            <w:pPr>
              <w:rPr>
                <w:rFonts w:ascii="Arial" w:hAnsi="Arial" w:cs="Arial"/>
                <w:sz w:val="20"/>
              </w:rPr>
            </w:pPr>
          </w:p>
        </w:tc>
      </w:tr>
    </w:tbl>
    <w:p w:rsidR="00483215" w:rsidRPr="00C72759" w:rsidRDefault="0048321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83215" w:rsidRPr="00C72759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483215" w:rsidRPr="00C72759" w:rsidRDefault="00483215">
            <w:pPr>
              <w:pStyle w:val="Heading1"/>
              <w:jc w:val="center"/>
              <w:rPr>
                <w:rFonts w:ascii="Arial" w:hAnsi="Arial" w:cs="Arial"/>
                <w:sz w:val="20"/>
                <w:u w:val="none"/>
              </w:rPr>
            </w:pPr>
            <w:r w:rsidRPr="00C72759">
              <w:rPr>
                <w:rFonts w:ascii="Arial" w:hAnsi="Arial" w:cs="Arial"/>
                <w:sz w:val="20"/>
                <w:u w:val="none"/>
              </w:rPr>
              <w:t>Knowledge Required</w:t>
            </w:r>
          </w:p>
        </w:tc>
      </w:tr>
      <w:tr w:rsidR="00483215" w:rsidRPr="00C72759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483215" w:rsidRPr="00C72759" w:rsidRDefault="0048321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C72759">
              <w:rPr>
                <w:rFonts w:ascii="Arial" w:hAnsi="Arial" w:cs="Arial"/>
                <w:sz w:val="20"/>
              </w:rPr>
              <w:t>Extensive experience required in the Design Construction, Project Management of Civil Engineering Infrastructure, traffic and transportation.</w:t>
            </w:r>
          </w:p>
          <w:p w:rsidR="00483215" w:rsidRPr="00C72759" w:rsidRDefault="0048321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C72759">
              <w:rPr>
                <w:rFonts w:ascii="Arial" w:hAnsi="Arial" w:cs="Arial"/>
                <w:sz w:val="20"/>
              </w:rPr>
              <w:t>Knowledge of water and sewerage design general municipal law and administration procedures.</w:t>
            </w:r>
          </w:p>
          <w:p w:rsidR="00483215" w:rsidRPr="00C72759" w:rsidRDefault="0048321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C72759">
              <w:rPr>
                <w:rFonts w:ascii="Arial" w:hAnsi="Arial" w:cs="Arial"/>
                <w:sz w:val="20"/>
              </w:rPr>
              <w:t xml:space="preserve">Detailed knowledge </w:t>
            </w:r>
            <w:r w:rsidR="007B7383" w:rsidRPr="00C72759">
              <w:rPr>
                <w:rFonts w:ascii="Arial" w:hAnsi="Arial" w:cs="Arial"/>
                <w:sz w:val="20"/>
              </w:rPr>
              <w:t>and understanding of the construction process for a wide variety of buildings, from low-rise, standard housing product to mid-rise, complex apartment and mixed use schemes.</w:t>
            </w:r>
          </w:p>
          <w:p w:rsidR="00483215" w:rsidRPr="00C72759" w:rsidRDefault="0048321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C72759">
              <w:rPr>
                <w:rFonts w:ascii="Arial" w:hAnsi="Arial" w:cs="Arial"/>
                <w:sz w:val="20"/>
              </w:rPr>
              <w:t>Detailed knowledge of utility companies, procedures, license and legislating framework.</w:t>
            </w:r>
          </w:p>
          <w:p w:rsidR="00483215" w:rsidRPr="00C72759" w:rsidRDefault="0048321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C72759">
              <w:rPr>
                <w:rFonts w:ascii="Arial" w:hAnsi="Arial" w:cs="Arial"/>
                <w:sz w:val="20"/>
              </w:rPr>
              <w:t>Planning procedures, development control and building regulations requirements.</w:t>
            </w:r>
          </w:p>
          <w:p w:rsidR="00483215" w:rsidRPr="00C72759" w:rsidRDefault="0048321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C72759">
              <w:rPr>
                <w:rFonts w:ascii="Arial" w:hAnsi="Arial" w:cs="Arial"/>
                <w:sz w:val="20"/>
              </w:rPr>
              <w:t>Ability to manage consortium and specialist complex consortium development projects</w:t>
            </w:r>
          </w:p>
          <w:p w:rsidR="00483215" w:rsidRPr="00C72759" w:rsidRDefault="00483215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  <w:r w:rsidRPr="00C72759">
              <w:rPr>
                <w:rFonts w:ascii="Arial" w:hAnsi="Arial" w:cs="Arial"/>
                <w:sz w:val="20"/>
              </w:rPr>
              <w:t>Remediation and development of brownfield or formerly developed land.</w:t>
            </w:r>
          </w:p>
        </w:tc>
      </w:tr>
    </w:tbl>
    <w:p w:rsidR="00483215" w:rsidRPr="00C72759" w:rsidRDefault="0048321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83215" w:rsidRPr="00C72759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483215" w:rsidRPr="00C72759" w:rsidRDefault="00483215">
            <w:pPr>
              <w:pStyle w:val="Heading1"/>
              <w:jc w:val="center"/>
              <w:rPr>
                <w:rFonts w:ascii="Arial" w:hAnsi="Arial" w:cs="Arial"/>
                <w:sz w:val="20"/>
                <w:u w:val="none"/>
              </w:rPr>
            </w:pPr>
            <w:r w:rsidRPr="00C72759">
              <w:rPr>
                <w:rFonts w:ascii="Arial" w:hAnsi="Arial" w:cs="Arial"/>
                <w:sz w:val="20"/>
                <w:u w:val="none"/>
              </w:rPr>
              <w:t>Qualifications</w:t>
            </w:r>
          </w:p>
        </w:tc>
      </w:tr>
      <w:tr w:rsidR="00483215" w:rsidRPr="00C72759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483215" w:rsidRPr="00C72759" w:rsidRDefault="007B7383">
            <w:pPr>
              <w:rPr>
                <w:rFonts w:ascii="Arial" w:hAnsi="Arial" w:cs="Arial"/>
                <w:sz w:val="20"/>
              </w:rPr>
            </w:pPr>
            <w:r w:rsidRPr="00C72759">
              <w:rPr>
                <w:rFonts w:ascii="Arial" w:hAnsi="Arial" w:cs="Arial"/>
                <w:sz w:val="20"/>
              </w:rPr>
              <w:t xml:space="preserve">Membership of relevant professional body - </w:t>
            </w:r>
            <w:r w:rsidR="00483215" w:rsidRPr="00C72759">
              <w:rPr>
                <w:rFonts w:ascii="Arial" w:hAnsi="Arial" w:cs="Arial"/>
                <w:sz w:val="20"/>
              </w:rPr>
              <w:t>Chartered Engineer</w:t>
            </w:r>
            <w:r w:rsidRPr="00C72759">
              <w:rPr>
                <w:rFonts w:ascii="Arial" w:hAnsi="Arial" w:cs="Arial"/>
                <w:sz w:val="20"/>
              </w:rPr>
              <w:t>/Builder</w:t>
            </w:r>
            <w:r w:rsidR="00483215" w:rsidRPr="00C72759">
              <w:rPr>
                <w:rFonts w:ascii="Arial" w:hAnsi="Arial" w:cs="Arial"/>
                <w:sz w:val="20"/>
              </w:rPr>
              <w:t xml:space="preserve"> Status (essential)</w:t>
            </w:r>
          </w:p>
          <w:p w:rsidR="00483215" w:rsidRPr="0057708B" w:rsidRDefault="007B7383">
            <w:pPr>
              <w:rPr>
                <w:rFonts w:ascii="Arial" w:hAnsi="Arial" w:cs="Arial"/>
                <w:sz w:val="20"/>
              </w:rPr>
            </w:pPr>
            <w:r w:rsidRPr="00C72759">
              <w:rPr>
                <w:rFonts w:ascii="Arial" w:hAnsi="Arial" w:cs="Arial"/>
                <w:sz w:val="20"/>
              </w:rPr>
              <w:t xml:space="preserve">Appropriate degree level qualification  - </w:t>
            </w:r>
            <w:r w:rsidR="00483215" w:rsidRPr="00C72759">
              <w:rPr>
                <w:rFonts w:ascii="Arial" w:hAnsi="Arial" w:cs="Arial"/>
                <w:sz w:val="20"/>
              </w:rPr>
              <w:t>BSc Engineering</w:t>
            </w:r>
            <w:r w:rsidRPr="00C72759">
              <w:rPr>
                <w:rFonts w:ascii="Arial" w:hAnsi="Arial" w:cs="Arial"/>
                <w:sz w:val="20"/>
              </w:rPr>
              <w:t>, Construction Management</w:t>
            </w:r>
            <w:r w:rsidR="00483215" w:rsidRPr="00C72759">
              <w:rPr>
                <w:rFonts w:ascii="Arial" w:hAnsi="Arial" w:cs="Arial"/>
                <w:sz w:val="20"/>
              </w:rPr>
              <w:t xml:space="preserve"> </w:t>
            </w:r>
            <w:r w:rsidRPr="00C72759">
              <w:rPr>
                <w:rFonts w:ascii="Arial" w:hAnsi="Arial" w:cs="Arial"/>
                <w:sz w:val="20"/>
              </w:rPr>
              <w:t>etc</w:t>
            </w:r>
            <w:r w:rsidR="00483215" w:rsidRPr="00C72759">
              <w:rPr>
                <w:rFonts w:ascii="Arial" w:hAnsi="Arial" w:cs="Arial"/>
                <w:sz w:val="20"/>
              </w:rPr>
              <w:t>(essential)</w:t>
            </w:r>
          </w:p>
        </w:tc>
      </w:tr>
    </w:tbl>
    <w:p w:rsidR="00483215" w:rsidRPr="00C72759" w:rsidRDefault="00483215">
      <w:pPr>
        <w:rPr>
          <w:rFonts w:ascii="Arial" w:hAnsi="Arial"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83215" w:rsidRPr="00C72759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483215" w:rsidRPr="00C72759" w:rsidRDefault="00483215">
            <w:pPr>
              <w:pStyle w:val="Heading1"/>
              <w:jc w:val="center"/>
              <w:rPr>
                <w:rFonts w:ascii="Arial" w:hAnsi="Arial" w:cs="Arial"/>
                <w:sz w:val="20"/>
                <w:u w:val="none"/>
              </w:rPr>
            </w:pPr>
            <w:r w:rsidRPr="00C72759">
              <w:rPr>
                <w:rFonts w:ascii="Arial" w:hAnsi="Arial" w:cs="Arial"/>
                <w:sz w:val="20"/>
                <w:u w:val="none"/>
              </w:rPr>
              <w:t>Technical Competencies</w:t>
            </w:r>
          </w:p>
        </w:tc>
      </w:tr>
      <w:tr w:rsidR="00483215" w:rsidRPr="00C72759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483215" w:rsidRPr="00C72759" w:rsidRDefault="00483215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</w:rPr>
            </w:pPr>
            <w:r w:rsidRPr="00C72759">
              <w:rPr>
                <w:rFonts w:ascii="Arial" w:hAnsi="Arial" w:cs="Arial"/>
                <w:sz w:val="20"/>
              </w:rPr>
              <w:t xml:space="preserve">Forensic investigation skills – </w:t>
            </w:r>
            <w:r w:rsidR="0057708B">
              <w:rPr>
                <w:rFonts w:ascii="Arial" w:hAnsi="Arial" w:cs="Arial"/>
                <w:sz w:val="20"/>
              </w:rPr>
              <w:t>able to analyse</w:t>
            </w:r>
            <w:r w:rsidRPr="00C72759">
              <w:rPr>
                <w:rFonts w:ascii="Arial" w:hAnsi="Arial" w:cs="Arial"/>
                <w:sz w:val="20"/>
              </w:rPr>
              <w:t xml:space="preserve"> building faults and defects</w:t>
            </w:r>
          </w:p>
          <w:p w:rsidR="0038076D" w:rsidRPr="00C72759" w:rsidRDefault="00483215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</w:rPr>
            </w:pPr>
            <w:r w:rsidRPr="00C72759">
              <w:rPr>
                <w:rFonts w:ascii="Arial" w:hAnsi="Arial" w:cs="Arial"/>
                <w:sz w:val="20"/>
              </w:rPr>
              <w:t>Ability to conduct feasibility studies, preparation of cost budget estimates, land purchase</w:t>
            </w:r>
            <w:r w:rsidR="0038076D" w:rsidRPr="00C72759">
              <w:rPr>
                <w:rFonts w:ascii="Arial" w:hAnsi="Arial" w:cs="Arial"/>
                <w:sz w:val="20"/>
              </w:rPr>
              <w:t>s etc.</w:t>
            </w:r>
          </w:p>
          <w:p w:rsidR="0038076D" w:rsidRPr="00C72759" w:rsidRDefault="0038076D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</w:rPr>
            </w:pPr>
            <w:r w:rsidRPr="00C72759">
              <w:rPr>
                <w:rFonts w:ascii="Arial" w:hAnsi="Arial" w:cs="Arial"/>
                <w:sz w:val="20"/>
              </w:rPr>
              <w:t>Ability to overcome and plan for the unexpected issues encountered above and below ground prior to and during the development of our sites.</w:t>
            </w:r>
          </w:p>
          <w:p w:rsidR="00483215" w:rsidRPr="00C72759" w:rsidRDefault="0038076D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</w:rPr>
            </w:pPr>
            <w:r w:rsidRPr="00C72759">
              <w:rPr>
                <w:rFonts w:ascii="Arial" w:hAnsi="Arial" w:cs="Arial"/>
                <w:sz w:val="20"/>
              </w:rPr>
              <w:t>Ability to procure the most cost effective design solution, taking on</w:t>
            </w:r>
            <w:r w:rsidR="00C84DCC">
              <w:rPr>
                <w:rFonts w:ascii="Arial" w:hAnsi="Arial" w:cs="Arial"/>
                <w:sz w:val="20"/>
              </w:rPr>
              <w:t xml:space="preserve"> </w:t>
            </w:r>
            <w:r w:rsidRPr="00C72759">
              <w:rPr>
                <w:rFonts w:ascii="Arial" w:hAnsi="Arial" w:cs="Arial"/>
                <w:sz w:val="20"/>
              </w:rPr>
              <w:t>board the concerns of all involved in the development process.</w:t>
            </w:r>
          </w:p>
        </w:tc>
      </w:tr>
    </w:tbl>
    <w:p w:rsidR="00C72759" w:rsidRPr="00C72759" w:rsidRDefault="00C72759" w:rsidP="00C7275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12B9D" w:rsidRDefault="00C72759" w:rsidP="00AC640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72759">
        <w:rPr>
          <w:rFonts w:ascii="Arial" w:hAnsi="Arial" w:cs="Arial"/>
          <w:sz w:val="20"/>
        </w:rPr>
        <w:t>If you wish to be considered for this role then please apply to</w:t>
      </w:r>
      <w:r w:rsidR="00D12B9D">
        <w:rPr>
          <w:rFonts w:ascii="Arial" w:hAnsi="Arial" w:cs="Arial"/>
          <w:sz w:val="20"/>
        </w:rPr>
        <w:t xml:space="preserve"> Ros Shaylor:</w:t>
      </w:r>
    </w:p>
    <w:p w:rsidR="00AF29DC" w:rsidRDefault="00C84DCC" w:rsidP="00AC640C">
      <w:pPr>
        <w:autoSpaceDE w:val="0"/>
        <w:autoSpaceDN w:val="0"/>
        <w:adjustRightInd w:val="0"/>
        <w:rPr>
          <w:rFonts w:ascii="Arial" w:hAnsi="Arial" w:cs="Arial"/>
          <w:sz w:val="20"/>
        </w:rPr>
      </w:pPr>
      <w:hyperlink r:id="rId9" w:history="1">
        <w:r w:rsidRPr="00745F25">
          <w:rPr>
            <w:rStyle w:val="Hyperlink"/>
            <w:rFonts w:ascii="Arial" w:hAnsi="Arial" w:cs="Arial"/>
            <w:sz w:val="20"/>
          </w:rPr>
          <w:t>Ros.Shaylor@taylorwimpey.com</w:t>
        </w:r>
      </w:hyperlink>
      <w:r>
        <w:rPr>
          <w:rFonts w:ascii="Arial" w:hAnsi="Arial" w:cs="Arial"/>
          <w:sz w:val="20"/>
        </w:rPr>
        <w:t xml:space="preserve"> </w:t>
      </w:r>
      <w:r w:rsidR="00D12B9D">
        <w:rPr>
          <w:rFonts w:ascii="Arial" w:hAnsi="Arial" w:cs="Arial"/>
          <w:sz w:val="20"/>
        </w:rPr>
        <w:t xml:space="preserve">by </w:t>
      </w:r>
      <w:r w:rsidR="00644CA5">
        <w:rPr>
          <w:rFonts w:ascii="Arial" w:hAnsi="Arial" w:cs="Arial"/>
          <w:sz w:val="20"/>
        </w:rPr>
        <w:t xml:space="preserve">8 May </w:t>
      </w:r>
      <w:r>
        <w:rPr>
          <w:rFonts w:ascii="Arial" w:hAnsi="Arial" w:cs="Arial"/>
          <w:sz w:val="20"/>
        </w:rPr>
        <w:t>2015.</w:t>
      </w:r>
    </w:p>
    <w:p w:rsidR="00AF29DC" w:rsidRPr="00C72759" w:rsidRDefault="00AF29DC" w:rsidP="00AC640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83215" w:rsidRPr="00C72759" w:rsidRDefault="00483215" w:rsidP="00DA65FE">
      <w:pPr>
        <w:rPr>
          <w:sz w:val="20"/>
        </w:rPr>
      </w:pPr>
    </w:p>
    <w:sectPr w:rsidR="00483215" w:rsidRPr="00C72759">
      <w:headerReference w:type="default" r:id="rId10"/>
      <w:footerReference w:type="even" r:id="rId11"/>
      <w:footerReference w:type="default" r:id="rId12"/>
      <w:pgSz w:w="11906" w:h="16838" w:code="9"/>
      <w:pgMar w:top="1559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838" w:rsidRDefault="007B7838">
      <w:r>
        <w:separator/>
      </w:r>
    </w:p>
  </w:endnote>
  <w:endnote w:type="continuationSeparator" w:id="0">
    <w:p w:rsidR="007B7838" w:rsidRDefault="007B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FE" w:rsidRDefault="00DA65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65FE" w:rsidRDefault="00DA65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FE" w:rsidRPr="00C72759" w:rsidRDefault="00DA65FE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C72759">
      <w:rPr>
        <w:rStyle w:val="PageNumber"/>
        <w:rFonts w:ascii="Arial" w:hAnsi="Arial" w:cs="Arial"/>
        <w:sz w:val="16"/>
        <w:szCs w:val="16"/>
      </w:rPr>
      <w:fldChar w:fldCharType="begin"/>
    </w:r>
    <w:r w:rsidRPr="00C72759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C72759">
      <w:rPr>
        <w:rStyle w:val="PageNumber"/>
        <w:rFonts w:ascii="Arial" w:hAnsi="Arial" w:cs="Arial"/>
        <w:sz w:val="16"/>
        <w:szCs w:val="16"/>
      </w:rPr>
      <w:fldChar w:fldCharType="separate"/>
    </w:r>
    <w:r w:rsidR="00087A52">
      <w:rPr>
        <w:rStyle w:val="PageNumber"/>
        <w:rFonts w:ascii="Arial" w:hAnsi="Arial" w:cs="Arial"/>
        <w:noProof/>
        <w:sz w:val="16"/>
        <w:szCs w:val="16"/>
      </w:rPr>
      <w:t>1</w:t>
    </w:r>
    <w:r w:rsidRPr="00C72759">
      <w:rPr>
        <w:rStyle w:val="PageNumber"/>
        <w:rFonts w:ascii="Arial" w:hAnsi="Arial" w:cs="Arial"/>
        <w:sz w:val="16"/>
        <w:szCs w:val="16"/>
      </w:rPr>
      <w:fldChar w:fldCharType="end"/>
    </w:r>
  </w:p>
  <w:p w:rsidR="00DA65FE" w:rsidRDefault="00DA65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838" w:rsidRDefault="007B7838">
      <w:r>
        <w:separator/>
      </w:r>
    </w:p>
  </w:footnote>
  <w:footnote w:type="continuationSeparator" w:id="0">
    <w:p w:rsidR="007B7838" w:rsidRDefault="007B7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FE" w:rsidRDefault="00DA65F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D3E4D"/>
    <w:multiLevelType w:val="hybridMultilevel"/>
    <w:tmpl w:val="9C70F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EF2194"/>
    <w:multiLevelType w:val="hybridMultilevel"/>
    <w:tmpl w:val="A0148ED0"/>
    <w:lvl w:ilvl="0" w:tplc="DD2EEA9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">
    <w:nsid w:val="6B683EFE"/>
    <w:multiLevelType w:val="hybridMultilevel"/>
    <w:tmpl w:val="8AA0C7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41"/>
    <w:rsid w:val="00001343"/>
    <w:rsid w:val="00025741"/>
    <w:rsid w:val="00087A52"/>
    <w:rsid w:val="000A2A8C"/>
    <w:rsid w:val="000C0524"/>
    <w:rsid w:val="000C18CB"/>
    <w:rsid w:val="000D1AEA"/>
    <w:rsid w:val="00114B8F"/>
    <w:rsid w:val="00176166"/>
    <w:rsid w:val="00205941"/>
    <w:rsid w:val="00246CA9"/>
    <w:rsid w:val="00257F69"/>
    <w:rsid w:val="002A57E5"/>
    <w:rsid w:val="0038076D"/>
    <w:rsid w:val="003A52A1"/>
    <w:rsid w:val="003D3B22"/>
    <w:rsid w:val="004243F0"/>
    <w:rsid w:val="00463631"/>
    <w:rsid w:val="00483215"/>
    <w:rsid w:val="00532F6F"/>
    <w:rsid w:val="005752F2"/>
    <w:rsid w:val="005764E1"/>
    <w:rsid w:val="0057708B"/>
    <w:rsid w:val="005856E8"/>
    <w:rsid w:val="0059044D"/>
    <w:rsid w:val="005B1F4E"/>
    <w:rsid w:val="005F3F76"/>
    <w:rsid w:val="00644CA5"/>
    <w:rsid w:val="00701840"/>
    <w:rsid w:val="00711BC6"/>
    <w:rsid w:val="007369BC"/>
    <w:rsid w:val="00745E46"/>
    <w:rsid w:val="00773099"/>
    <w:rsid w:val="007A0B74"/>
    <w:rsid w:val="007B7383"/>
    <w:rsid w:val="007B7838"/>
    <w:rsid w:val="007F10A9"/>
    <w:rsid w:val="008105F5"/>
    <w:rsid w:val="008C7425"/>
    <w:rsid w:val="009C738A"/>
    <w:rsid w:val="00A02A54"/>
    <w:rsid w:val="00A02DE2"/>
    <w:rsid w:val="00A03717"/>
    <w:rsid w:val="00A466B1"/>
    <w:rsid w:val="00A6330E"/>
    <w:rsid w:val="00AC1CE8"/>
    <w:rsid w:val="00AC640C"/>
    <w:rsid w:val="00AF29DC"/>
    <w:rsid w:val="00B83096"/>
    <w:rsid w:val="00C45C8F"/>
    <w:rsid w:val="00C72759"/>
    <w:rsid w:val="00C84DCC"/>
    <w:rsid w:val="00D12B9D"/>
    <w:rsid w:val="00D54C04"/>
    <w:rsid w:val="00D778BA"/>
    <w:rsid w:val="00DA65FE"/>
    <w:rsid w:val="00E1631D"/>
    <w:rsid w:val="00E40914"/>
    <w:rsid w:val="00E82C60"/>
    <w:rsid w:val="00F61221"/>
    <w:rsid w:val="00FC614C"/>
    <w:rsid w:val="00FE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B7383"/>
    <w:rPr>
      <w:rFonts w:cs="Tahoma"/>
      <w:sz w:val="16"/>
      <w:szCs w:val="16"/>
    </w:rPr>
  </w:style>
  <w:style w:type="character" w:styleId="CommentReference">
    <w:name w:val="annotation reference"/>
    <w:semiHidden/>
    <w:rsid w:val="00C72759"/>
    <w:rPr>
      <w:sz w:val="16"/>
      <w:szCs w:val="16"/>
    </w:rPr>
  </w:style>
  <w:style w:type="paragraph" w:styleId="CommentText">
    <w:name w:val="annotation text"/>
    <w:basedOn w:val="Normal"/>
    <w:semiHidden/>
    <w:rsid w:val="00C72759"/>
    <w:rPr>
      <w:sz w:val="20"/>
    </w:rPr>
  </w:style>
  <w:style w:type="paragraph" w:styleId="CommentSubject">
    <w:name w:val="annotation subject"/>
    <w:basedOn w:val="CommentText"/>
    <w:next w:val="CommentText"/>
    <w:semiHidden/>
    <w:rsid w:val="00C72759"/>
    <w:rPr>
      <w:b/>
      <w:bCs/>
    </w:rPr>
  </w:style>
  <w:style w:type="paragraph" w:styleId="Revision">
    <w:name w:val="Revision"/>
    <w:hidden/>
    <w:uiPriority w:val="99"/>
    <w:semiHidden/>
    <w:rsid w:val="00463631"/>
    <w:rPr>
      <w:rFonts w:ascii="Tahoma" w:hAnsi="Tahoma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B7383"/>
    <w:rPr>
      <w:rFonts w:cs="Tahoma"/>
      <w:sz w:val="16"/>
      <w:szCs w:val="16"/>
    </w:rPr>
  </w:style>
  <w:style w:type="character" w:styleId="CommentReference">
    <w:name w:val="annotation reference"/>
    <w:semiHidden/>
    <w:rsid w:val="00C72759"/>
    <w:rPr>
      <w:sz w:val="16"/>
      <w:szCs w:val="16"/>
    </w:rPr>
  </w:style>
  <w:style w:type="paragraph" w:styleId="CommentText">
    <w:name w:val="annotation text"/>
    <w:basedOn w:val="Normal"/>
    <w:semiHidden/>
    <w:rsid w:val="00C72759"/>
    <w:rPr>
      <w:sz w:val="20"/>
    </w:rPr>
  </w:style>
  <w:style w:type="paragraph" w:styleId="CommentSubject">
    <w:name w:val="annotation subject"/>
    <w:basedOn w:val="CommentText"/>
    <w:next w:val="CommentText"/>
    <w:semiHidden/>
    <w:rsid w:val="00C72759"/>
    <w:rPr>
      <w:b/>
      <w:bCs/>
    </w:rPr>
  </w:style>
  <w:style w:type="paragraph" w:styleId="Revision">
    <w:name w:val="Revision"/>
    <w:hidden/>
    <w:uiPriority w:val="99"/>
    <w:semiHidden/>
    <w:rsid w:val="00463631"/>
    <w:rPr>
      <w:rFonts w:ascii="Tahoma" w:hAnsi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s.Shaylor@taylorwimpe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A91D-739F-4EED-9C5C-0BABF50B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752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completing the Role Profile</vt:lpstr>
    </vt:vector>
  </TitlesOfParts>
  <Company>Taylor Woodrow</Company>
  <LinksUpToDate>false</LinksUpToDate>
  <CharactersWithSpaces>5529</CharactersWithSpaces>
  <SharedDoc>false</SharedDoc>
  <HLinks>
    <vt:vector size="6" baseType="variant">
      <vt:variant>
        <vt:i4>3342409</vt:i4>
      </vt:variant>
      <vt:variant>
        <vt:i4>0</vt:i4>
      </vt:variant>
      <vt:variant>
        <vt:i4>0</vt:i4>
      </vt:variant>
      <vt:variant>
        <vt:i4>5</vt:i4>
      </vt:variant>
      <vt:variant>
        <vt:lpwstr>mailto:Ros.Shaylor@taylorwimpey.com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completing the Role Profile</dc:title>
  <dc:creator>TW</dc:creator>
  <cp:lastModifiedBy>Lynette Jack - TW Head Office</cp:lastModifiedBy>
  <cp:revision>4</cp:revision>
  <cp:lastPrinted>2011-03-03T09:33:00Z</cp:lastPrinted>
  <dcterms:created xsi:type="dcterms:W3CDTF">2015-04-23T10:04:00Z</dcterms:created>
  <dcterms:modified xsi:type="dcterms:W3CDTF">2015-04-23T10:09:00Z</dcterms:modified>
</cp:coreProperties>
</file>