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531123" w:rsidRDefault="00531123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531123">
        <w:rPr>
          <w:rFonts w:asciiTheme="minorHAnsi" w:hAnsiTheme="minorHAnsi" w:cs="Arial"/>
          <w:b/>
          <w:color w:val="333333"/>
          <w:sz w:val="18"/>
          <w:szCs w:val="18"/>
        </w:rPr>
        <w:t>Investor Relations and Communications Assistant</w:t>
      </w:r>
      <w:r w:rsidR="00661370" w:rsidRPr="00531123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CE75CD" w:rsidRDefault="00E33787" w:rsidP="00CE75CD">
      <w:pPr>
        <w:rPr>
          <w:rFonts w:asciiTheme="minorHAns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E75CD">
        <w:rPr>
          <w:rFonts w:asciiTheme="minorHAnsi" w:eastAsia="Calibri" w:hAnsiTheme="minorHAnsi"/>
          <w:sz w:val="18"/>
          <w:szCs w:val="18"/>
        </w:rPr>
        <w:t xml:space="preserve"> collaborative</w:t>
      </w:r>
      <w:r w:rsidR="007E564C">
        <w:rPr>
          <w:rFonts w:asciiTheme="minorHAnsi" w:eastAsia="Calibri" w:hAnsiTheme="minorHAnsi"/>
          <w:sz w:val="18"/>
          <w:szCs w:val="18"/>
        </w:rPr>
        <w:t xml:space="preserve"> and organised</w:t>
      </w:r>
      <w:bookmarkStart w:id="0" w:name="_GoBack"/>
      <w:bookmarkEnd w:id="0"/>
      <w:r w:rsidR="00CE75CD">
        <w:rPr>
          <w:rFonts w:asciiTheme="minorHAnsi" w:eastAsia="Calibri" w:hAnsiTheme="minorHAnsi"/>
          <w:sz w:val="18"/>
          <w:szCs w:val="18"/>
        </w:rPr>
        <w:t xml:space="preserve"> </w:t>
      </w:r>
      <w:r w:rsidR="00CE75CD">
        <w:rPr>
          <w:rFonts w:asciiTheme="minorHAnsi" w:hAnsiTheme="minorHAnsi" w:cs="Arial"/>
          <w:color w:val="333333"/>
          <w:sz w:val="18"/>
          <w:szCs w:val="18"/>
        </w:rPr>
        <w:t xml:space="preserve">Investor Relations and Communications </w:t>
      </w:r>
      <w:r w:rsidR="00CE75CD">
        <w:rPr>
          <w:rFonts w:asciiTheme="minorHAnsi" w:hAnsiTheme="minorHAnsi" w:cs="Arial"/>
          <w:color w:val="333333"/>
          <w:sz w:val="18"/>
          <w:szCs w:val="18"/>
        </w:rPr>
        <w:t>A</w:t>
      </w:r>
      <w:r w:rsidR="00CE75CD">
        <w:rPr>
          <w:rFonts w:asciiTheme="minorHAnsi" w:hAnsiTheme="minorHAnsi" w:cs="Arial"/>
          <w:color w:val="333333"/>
          <w:sz w:val="18"/>
          <w:szCs w:val="18"/>
        </w:rPr>
        <w:t>ssistant</w:t>
      </w:r>
      <w:r w:rsidR="00CE75CD">
        <w:rPr>
          <w:rFonts w:asciiTheme="minorHAnsi" w:eastAsia="Calibri" w:hAnsiTheme="minorHAnsi"/>
          <w:sz w:val="18"/>
          <w:szCs w:val="18"/>
        </w:rPr>
        <w:t xml:space="preserve"> </w:t>
      </w:r>
      <w:r w:rsidR="00285265">
        <w:rPr>
          <w:rFonts w:asciiTheme="minorHAnsi" w:eastAsia="Calibri" w:hAnsiTheme="minorHAnsi"/>
          <w:sz w:val="18"/>
          <w:szCs w:val="18"/>
        </w:rPr>
        <w:t xml:space="preserve">to </w:t>
      </w:r>
      <w:r w:rsidR="00CE75CD">
        <w:rPr>
          <w:rFonts w:asciiTheme="minorHAnsi" w:eastAsia="Calibri" w:hAnsiTheme="minorHAnsi"/>
          <w:sz w:val="18"/>
          <w:szCs w:val="18"/>
        </w:rPr>
        <w:t>a</w:t>
      </w:r>
      <w:r w:rsidR="00CE75CD" w:rsidRPr="00801B3F">
        <w:rPr>
          <w:rFonts w:asciiTheme="minorHAnsi" w:hAnsiTheme="minorHAnsi"/>
          <w:sz w:val="18"/>
          <w:szCs w:val="18"/>
        </w:rPr>
        <w:t xml:space="preserve">ssist the Investor Relations </w:t>
      </w:r>
      <w:r w:rsidR="00CE75CD">
        <w:rPr>
          <w:rFonts w:asciiTheme="minorHAnsi" w:hAnsiTheme="minorHAnsi"/>
          <w:sz w:val="18"/>
          <w:szCs w:val="18"/>
        </w:rPr>
        <w:t>M</w:t>
      </w:r>
      <w:r w:rsidR="00CE75CD" w:rsidRPr="00801B3F">
        <w:rPr>
          <w:rFonts w:asciiTheme="minorHAnsi" w:hAnsiTheme="minorHAnsi"/>
          <w:sz w:val="18"/>
          <w:szCs w:val="18"/>
        </w:rPr>
        <w:t>anager and Communications Manager to</w:t>
      </w:r>
      <w:r w:rsidR="00CE75CD">
        <w:rPr>
          <w:rFonts w:asciiTheme="minorHAnsi" w:hAnsiTheme="minorHAnsi"/>
          <w:sz w:val="18"/>
          <w:szCs w:val="18"/>
        </w:rPr>
        <w:t xml:space="preserve"> support </w:t>
      </w:r>
      <w:r w:rsidR="00CE75CD" w:rsidRPr="00801B3F">
        <w:rPr>
          <w:rFonts w:asciiTheme="minorHAnsi" w:hAnsiTheme="minorHAnsi"/>
          <w:sz w:val="18"/>
          <w:szCs w:val="18"/>
        </w:rPr>
        <w:t>the Head of Investor Relations and Communications in the management and delivery of all Investor Relations and Communications activity for Taylor Wimpey.</w:t>
      </w:r>
      <w:r w:rsidR="00CE75CD">
        <w:rPr>
          <w:rFonts w:asciiTheme="minorHAnsi" w:hAnsiTheme="minorHAnsi"/>
          <w:sz w:val="18"/>
          <w:szCs w:val="18"/>
        </w:rPr>
        <w:t xml:space="preserve"> This is an entry level role with very good potential for development within the team.</w:t>
      </w:r>
    </w:p>
    <w:p w:rsidR="00A34DAF" w:rsidRDefault="00A34DAF" w:rsidP="00243542">
      <w:pPr>
        <w:jc w:val="both"/>
        <w:rPr>
          <w:rFonts w:ascii="Calibri" w:hAnsi="Calibri" w:cs="Arial"/>
          <w:sz w:val="18"/>
          <w:szCs w:val="18"/>
        </w:rPr>
      </w:pPr>
    </w:p>
    <w:p w:rsidR="00CE75CD" w:rsidRDefault="00CE75CD" w:rsidP="00CE75CD">
      <w:pPr>
        <w:rPr>
          <w:rFonts w:asciiTheme="minorHAnsi" w:hAnsiTheme="minorHAnsi"/>
          <w:sz w:val="18"/>
          <w:szCs w:val="18"/>
        </w:rPr>
      </w:pPr>
      <w:r w:rsidRPr="00CE75CD">
        <w:rPr>
          <w:rFonts w:ascii="Calibri" w:hAnsi="Calibri" w:cs="Arial"/>
          <w:sz w:val="18"/>
          <w:szCs w:val="18"/>
        </w:rPr>
        <w:t xml:space="preserve">The successful candidate will </w:t>
      </w:r>
      <w:r>
        <w:rPr>
          <w:rFonts w:ascii="Calibri" w:hAnsi="Calibri" w:cs="Arial"/>
          <w:sz w:val="18"/>
          <w:szCs w:val="18"/>
        </w:rPr>
        <w:t>p</w:t>
      </w:r>
      <w:r w:rsidRPr="00CE75CD">
        <w:rPr>
          <w:rFonts w:asciiTheme="minorHAnsi" w:hAnsiTheme="minorHAnsi"/>
          <w:sz w:val="18"/>
          <w:szCs w:val="18"/>
        </w:rPr>
        <w:t>rovid</w:t>
      </w:r>
      <w:r>
        <w:rPr>
          <w:rFonts w:asciiTheme="minorHAnsi" w:hAnsiTheme="minorHAnsi"/>
          <w:sz w:val="18"/>
          <w:szCs w:val="18"/>
        </w:rPr>
        <w:t>e</w:t>
      </w:r>
      <w:r w:rsidRPr="00CE75CD">
        <w:rPr>
          <w:rFonts w:asciiTheme="minorHAnsi" w:hAnsiTheme="minorHAnsi"/>
          <w:sz w:val="18"/>
          <w:szCs w:val="18"/>
        </w:rPr>
        <w:t xml:space="preserve"> support for ‘escalated’ PR issues, including projects with a significant public interest or with the potential to impact Taylor Wimpey’s brand</w:t>
      </w:r>
      <w:r>
        <w:rPr>
          <w:rFonts w:asciiTheme="minorHAnsi" w:hAnsiTheme="minorHAnsi"/>
          <w:sz w:val="18"/>
          <w:szCs w:val="18"/>
        </w:rPr>
        <w:t>; d</w:t>
      </w:r>
      <w:r w:rsidRPr="00CE75CD">
        <w:rPr>
          <w:rFonts w:asciiTheme="minorHAnsi" w:hAnsiTheme="minorHAnsi"/>
          <w:sz w:val="18"/>
          <w:szCs w:val="18"/>
        </w:rPr>
        <w:t>istribut</w:t>
      </w:r>
      <w:r>
        <w:rPr>
          <w:rFonts w:asciiTheme="minorHAnsi" w:hAnsiTheme="minorHAnsi"/>
          <w:sz w:val="18"/>
          <w:szCs w:val="18"/>
        </w:rPr>
        <w:t xml:space="preserve">e </w:t>
      </w:r>
      <w:r w:rsidRPr="00CE75CD">
        <w:rPr>
          <w:rFonts w:asciiTheme="minorHAnsi" w:hAnsiTheme="minorHAnsi"/>
          <w:sz w:val="18"/>
          <w:szCs w:val="18"/>
        </w:rPr>
        <w:t>daily media monitoring reports</w:t>
      </w:r>
      <w:r>
        <w:rPr>
          <w:rFonts w:asciiTheme="minorHAnsi" w:hAnsiTheme="minorHAnsi"/>
          <w:sz w:val="18"/>
          <w:szCs w:val="18"/>
        </w:rPr>
        <w:t xml:space="preserve"> and analyse </w:t>
      </w:r>
      <w:r w:rsidRPr="00CE75CD">
        <w:rPr>
          <w:rFonts w:asciiTheme="minorHAnsi" w:hAnsiTheme="minorHAnsi"/>
          <w:sz w:val="18"/>
          <w:szCs w:val="18"/>
        </w:rPr>
        <w:t>themes and trends in Taylor Wimpey’s media coverage</w:t>
      </w:r>
      <w:r>
        <w:rPr>
          <w:rFonts w:asciiTheme="minorHAnsi" w:hAnsiTheme="minorHAnsi"/>
          <w:sz w:val="18"/>
          <w:szCs w:val="18"/>
        </w:rPr>
        <w:t>.</w:t>
      </w:r>
    </w:p>
    <w:p w:rsidR="00CE75CD" w:rsidRDefault="00CE75CD" w:rsidP="00CE75CD">
      <w:pPr>
        <w:rPr>
          <w:rFonts w:asciiTheme="minorHAnsi" w:hAnsiTheme="minorHAnsi"/>
          <w:sz w:val="18"/>
          <w:szCs w:val="18"/>
        </w:rPr>
      </w:pPr>
    </w:p>
    <w:p w:rsidR="00CE75CD" w:rsidRDefault="00CE75CD" w:rsidP="00CE75C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You will also perform c</w:t>
      </w:r>
      <w:r w:rsidRPr="00CE75CD">
        <w:rPr>
          <w:rFonts w:asciiTheme="minorHAnsi" w:hAnsiTheme="minorHAnsi"/>
          <w:sz w:val="18"/>
          <w:szCs w:val="18"/>
        </w:rPr>
        <w:t>ertain administrative duties as required to support the team, including team diary management</w:t>
      </w:r>
      <w:r>
        <w:rPr>
          <w:rFonts w:asciiTheme="minorHAnsi" w:hAnsiTheme="minorHAnsi"/>
          <w:sz w:val="18"/>
          <w:szCs w:val="18"/>
        </w:rPr>
        <w:t xml:space="preserve">; </w:t>
      </w:r>
      <w:r w:rsidRPr="00CE75CD">
        <w:rPr>
          <w:rFonts w:asciiTheme="minorHAnsi" w:hAnsiTheme="minorHAnsi"/>
          <w:sz w:val="18"/>
          <w:szCs w:val="18"/>
        </w:rPr>
        <w:t xml:space="preserve">Liaison with external suppliers (e.g. conference call providers, corporate photography </w:t>
      </w:r>
      <w:proofErr w:type="spellStart"/>
      <w:r w:rsidRPr="00CE75CD">
        <w:rPr>
          <w:rFonts w:asciiTheme="minorHAnsi" w:hAnsiTheme="minorHAnsi"/>
          <w:sz w:val="18"/>
          <w:szCs w:val="18"/>
        </w:rPr>
        <w:t>etc</w:t>
      </w:r>
      <w:proofErr w:type="spellEnd"/>
      <w:r w:rsidRPr="00CE75CD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; </w:t>
      </w:r>
      <w:r w:rsidRPr="00CE75CD">
        <w:rPr>
          <w:rFonts w:asciiTheme="minorHAnsi" w:hAnsiTheme="minorHAnsi"/>
          <w:sz w:val="18"/>
          <w:szCs w:val="18"/>
        </w:rPr>
        <w:t>R</w:t>
      </w:r>
      <w:r>
        <w:rPr>
          <w:rFonts w:asciiTheme="minorHAnsi" w:hAnsiTheme="minorHAnsi"/>
          <w:sz w:val="18"/>
          <w:szCs w:val="18"/>
        </w:rPr>
        <w:t xml:space="preserve">eview </w:t>
      </w:r>
      <w:r w:rsidRPr="00CE75CD">
        <w:rPr>
          <w:rFonts w:asciiTheme="minorHAnsi" w:hAnsiTheme="minorHAnsi"/>
          <w:sz w:val="18"/>
          <w:szCs w:val="18"/>
        </w:rPr>
        <w:t>and monitor budgets for projects</w:t>
      </w:r>
      <w:r>
        <w:rPr>
          <w:rFonts w:asciiTheme="minorHAnsi" w:hAnsiTheme="minorHAnsi"/>
          <w:sz w:val="18"/>
          <w:szCs w:val="18"/>
        </w:rPr>
        <w:t xml:space="preserve"> as well as to</w:t>
      </w:r>
      <w:r w:rsidRPr="00CE75C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b</w:t>
      </w:r>
      <w:r w:rsidRPr="00CE75CD">
        <w:rPr>
          <w:rFonts w:asciiTheme="minorHAnsi" w:hAnsiTheme="minorHAnsi"/>
          <w:sz w:val="18"/>
          <w:szCs w:val="18"/>
        </w:rPr>
        <w:t>uild good working relationships and a solid understanding of business operations across Taylor Wimpey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CE75CD" w:rsidRPr="00CE75CD" w:rsidRDefault="00CE75CD" w:rsidP="00CE75CD">
      <w:pPr>
        <w:rPr>
          <w:rFonts w:asciiTheme="minorHAns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7E564C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Maintenance of Investor Relations contact management system 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Logistical support for shareholder</w:t>
      </w:r>
      <w:r>
        <w:rPr>
          <w:rFonts w:asciiTheme="minorHAnsi" w:hAnsiTheme="minorHAnsi"/>
          <w:sz w:val="18"/>
          <w:szCs w:val="18"/>
        </w:rPr>
        <w:t>/investor</w:t>
      </w:r>
      <w:r w:rsidRPr="00FA03FD">
        <w:rPr>
          <w:rFonts w:asciiTheme="minorHAnsi" w:hAnsiTheme="minorHAnsi"/>
          <w:sz w:val="18"/>
          <w:szCs w:val="18"/>
        </w:rPr>
        <w:t xml:space="preserve"> meetings 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 xml:space="preserve">Providing logistical and on the day support for key events including </w:t>
      </w:r>
      <w:r>
        <w:rPr>
          <w:rFonts w:asciiTheme="minorHAnsi" w:hAnsiTheme="minorHAnsi"/>
          <w:sz w:val="18"/>
          <w:szCs w:val="18"/>
        </w:rPr>
        <w:t xml:space="preserve">Full Year </w:t>
      </w:r>
      <w:r w:rsidRPr="00FA03FD">
        <w:rPr>
          <w:rFonts w:asciiTheme="minorHAnsi" w:hAnsiTheme="minorHAnsi"/>
          <w:sz w:val="18"/>
          <w:szCs w:val="18"/>
        </w:rPr>
        <w:t xml:space="preserve">Results, </w:t>
      </w:r>
      <w:r>
        <w:rPr>
          <w:rFonts w:asciiTheme="minorHAnsi" w:hAnsiTheme="minorHAnsi"/>
          <w:sz w:val="18"/>
          <w:szCs w:val="18"/>
        </w:rPr>
        <w:t>Half Year</w:t>
      </w:r>
      <w:r w:rsidRPr="00FA03FD">
        <w:rPr>
          <w:rFonts w:asciiTheme="minorHAnsi" w:hAnsiTheme="minorHAnsi"/>
          <w:sz w:val="18"/>
          <w:szCs w:val="18"/>
        </w:rPr>
        <w:t xml:space="preserve"> Results and analyst visits 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 support in collating and analysing</w:t>
      </w:r>
      <w:r w:rsidRPr="00FA03FD">
        <w:rPr>
          <w:rFonts w:asciiTheme="minorHAnsi" w:hAnsiTheme="minorHAnsi"/>
          <w:sz w:val="18"/>
          <w:szCs w:val="18"/>
        </w:rPr>
        <w:t xml:space="preserve"> information from various sources </w:t>
      </w:r>
      <w:r>
        <w:rPr>
          <w:rFonts w:asciiTheme="minorHAnsi" w:hAnsiTheme="minorHAnsi"/>
          <w:sz w:val="18"/>
          <w:szCs w:val="18"/>
        </w:rPr>
        <w:t xml:space="preserve">for </w:t>
      </w:r>
      <w:r w:rsidRPr="00FA03FD">
        <w:rPr>
          <w:rFonts w:asciiTheme="minorHAnsi" w:hAnsiTheme="minorHAnsi"/>
          <w:sz w:val="18"/>
          <w:szCs w:val="18"/>
        </w:rPr>
        <w:t xml:space="preserve">various internal and external audiences 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 support to the team</w:t>
      </w:r>
      <w:r w:rsidRPr="00FA03F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during the </w:t>
      </w:r>
      <w:r w:rsidRPr="00FA03FD">
        <w:rPr>
          <w:rFonts w:asciiTheme="minorHAnsi" w:hAnsiTheme="minorHAnsi"/>
          <w:sz w:val="18"/>
          <w:szCs w:val="18"/>
        </w:rPr>
        <w:t>reporting process</w:t>
      </w:r>
      <w:r>
        <w:rPr>
          <w:rFonts w:asciiTheme="minorHAnsi" w:hAnsiTheme="minorHAnsi"/>
          <w:sz w:val="18"/>
          <w:szCs w:val="18"/>
        </w:rPr>
        <w:t xml:space="preserve">, including liaising </w:t>
      </w:r>
      <w:r w:rsidRPr="00FA03FD">
        <w:rPr>
          <w:rFonts w:asciiTheme="minorHAnsi" w:hAnsiTheme="minorHAnsi"/>
          <w:sz w:val="18"/>
          <w:szCs w:val="18"/>
        </w:rPr>
        <w:t>with external suppliers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Provide support in preparation of  results </w:t>
      </w:r>
      <w:r w:rsidRPr="00FA03FD">
        <w:rPr>
          <w:rFonts w:asciiTheme="minorHAnsi" w:hAnsiTheme="minorHAnsi"/>
          <w:sz w:val="18"/>
          <w:szCs w:val="18"/>
        </w:rPr>
        <w:t>announcements, annual reports and analyst presentations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 support for i</w:t>
      </w:r>
      <w:r w:rsidRPr="00FA03FD">
        <w:rPr>
          <w:rFonts w:asciiTheme="minorHAnsi" w:hAnsiTheme="minorHAnsi"/>
          <w:sz w:val="18"/>
          <w:szCs w:val="18"/>
        </w:rPr>
        <w:t xml:space="preserve">nternal and external communication </w:t>
      </w:r>
      <w:r>
        <w:rPr>
          <w:rFonts w:asciiTheme="minorHAnsi" w:hAnsiTheme="minorHAnsi"/>
          <w:sz w:val="18"/>
          <w:szCs w:val="18"/>
        </w:rPr>
        <w:t>around</w:t>
      </w:r>
      <w:r w:rsidRPr="00FA03FD">
        <w:rPr>
          <w:rFonts w:asciiTheme="minorHAnsi" w:hAnsiTheme="minorHAnsi"/>
          <w:sz w:val="18"/>
          <w:szCs w:val="18"/>
        </w:rPr>
        <w:t xml:space="preserve"> Taylor Wimpey’s sustainability</w:t>
      </w:r>
      <w:r>
        <w:rPr>
          <w:rFonts w:asciiTheme="minorHAnsi" w:hAnsiTheme="minorHAnsi"/>
          <w:sz w:val="18"/>
          <w:szCs w:val="18"/>
        </w:rPr>
        <w:t>, community engagement</w:t>
      </w:r>
      <w:r w:rsidRPr="00FA03FD">
        <w:rPr>
          <w:rFonts w:asciiTheme="minorHAnsi" w:hAnsiTheme="minorHAnsi"/>
          <w:sz w:val="18"/>
          <w:szCs w:val="18"/>
        </w:rPr>
        <w:t xml:space="preserve"> and charity programmes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Collation of information</w:t>
      </w:r>
      <w:r>
        <w:rPr>
          <w:rFonts w:asciiTheme="minorHAnsi" w:hAnsiTheme="minorHAnsi"/>
          <w:sz w:val="18"/>
          <w:szCs w:val="18"/>
        </w:rPr>
        <w:t xml:space="preserve"> for Taylor Wimpey’s annual Sustainability Report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Analysis and reporting on web</w:t>
      </w:r>
      <w:r>
        <w:rPr>
          <w:rFonts w:asciiTheme="minorHAnsi" w:hAnsiTheme="minorHAnsi"/>
          <w:sz w:val="18"/>
          <w:szCs w:val="18"/>
        </w:rPr>
        <w:t>page</w:t>
      </w:r>
      <w:r w:rsidRPr="00FA03FD">
        <w:rPr>
          <w:rFonts w:asciiTheme="minorHAnsi" w:hAnsiTheme="minorHAnsi"/>
          <w:sz w:val="18"/>
          <w:szCs w:val="18"/>
        </w:rPr>
        <w:t xml:space="preserve"> usage (e.g. through the use of Google Analytics)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Identification of potential improvements to the sections (e.g. benchmarking against competitors and other FTSE 100/250 companies)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Assisting in management of events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Provide support for r</w:t>
      </w:r>
      <w:r w:rsidRPr="00FA03FD">
        <w:rPr>
          <w:rFonts w:asciiTheme="minorHAnsi" w:hAnsiTheme="minorHAnsi"/>
          <w:sz w:val="18"/>
          <w:szCs w:val="18"/>
        </w:rPr>
        <w:t>oll-out of business-wide initiatives (e.g. strategy</w:t>
      </w:r>
      <w:r>
        <w:rPr>
          <w:rFonts w:asciiTheme="minorHAnsi" w:hAnsiTheme="minorHAnsi"/>
          <w:sz w:val="18"/>
          <w:szCs w:val="18"/>
        </w:rPr>
        <w:t xml:space="preserve"> days</w:t>
      </w:r>
      <w:r w:rsidRPr="00FA03FD">
        <w:rPr>
          <w:rFonts w:asciiTheme="minorHAnsi" w:hAnsiTheme="minorHAnsi"/>
          <w:sz w:val="18"/>
          <w:szCs w:val="18"/>
        </w:rPr>
        <w:t xml:space="preserve">, community engagement </w:t>
      </w:r>
      <w:proofErr w:type="spellStart"/>
      <w:r w:rsidRPr="00FA03FD">
        <w:rPr>
          <w:rFonts w:asciiTheme="minorHAnsi" w:hAnsiTheme="minorHAnsi"/>
          <w:sz w:val="18"/>
          <w:szCs w:val="18"/>
        </w:rPr>
        <w:t>etc</w:t>
      </w:r>
      <w:proofErr w:type="spellEnd"/>
      <w:r w:rsidRPr="00FA03FD">
        <w:rPr>
          <w:rFonts w:asciiTheme="minorHAnsi" w:hAnsiTheme="minorHAnsi"/>
          <w:sz w:val="18"/>
          <w:szCs w:val="18"/>
        </w:rPr>
        <w:t>)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>External publications</w:t>
      </w:r>
      <w:r>
        <w:rPr>
          <w:rFonts w:asciiTheme="minorHAnsi" w:hAnsiTheme="minorHAnsi"/>
          <w:sz w:val="18"/>
          <w:szCs w:val="18"/>
        </w:rPr>
        <w:t>, such as London and Scotland brochures</w:t>
      </w:r>
      <w:r w:rsidRPr="00FA03FD">
        <w:rPr>
          <w:rFonts w:asciiTheme="minorHAnsi" w:hAnsiTheme="minorHAnsi"/>
          <w:sz w:val="18"/>
          <w:szCs w:val="18"/>
        </w:rPr>
        <w:t xml:space="preserve"> </w:t>
      </w:r>
    </w:p>
    <w:p w:rsidR="007E564C" w:rsidRPr="00FA03FD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FA03FD">
        <w:rPr>
          <w:rFonts w:asciiTheme="minorHAnsi" w:hAnsiTheme="minorHAnsi"/>
          <w:sz w:val="18"/>
          <w:szCs w:val="18"/>
        </w:rPr>
        <w:t xml:space="preserve">Identifying opportunities to improve the support that the department provides </w:t>
      </w:r>
      <w:r>
        <w:rPr>
          <w:rFonts w:asciiTheme="minorHAnsi" w:hAnsiTheme="minorHAnsi"/>
          <w:sz w:val="18"/>
          <w:szCs w:val="18"/>
        </w:rPr>
        <w:t xml:space="preserve">across the Company </w:t>
      </w:r>
      <w:r w:rsidRPr="00FA03FD">
        <w:rPr>
          <w:rFonts w:asciiTheme="minorHAnsi" w:hAnsiTheme="minorHAnsi"/>
          <w:sz w:val="18"/>
          <w:szCs w:val="18"/>
        </w:rPr>
        <w:t>and to its internal and external audiences</w:t>
      </w:r>
    </w:p>
    <w:p w:rsidR="00243542" w:rsidRDefault="00243542" w:rsidP="00243542">
      <w:pPr>
        <w:spacing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Default="00E654BF" w:rsidP="00A34DAF">
      <w:pPr>
        <w:spacing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A34DAF" w:rsidRDefault="00A34DAF" w:rsidP="00A34DAF">
      <w:pPr>
        <w:spacing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A53EB6">
        <w:rPr>
          <w:rFonts w:asciiTheme="minorHAnsi" w:hAnsiTheme="minorHAnsi"/>
          <w:sz w:val="18"/>
          <w:szCs w:val="18"/>
        </w:rPr>
        <w:t xml:space="preserve">Degree level </w:t>
      </w:r>
      <w:r>
        <w:rPr>
          <w:rFonts w:asciiTheme="minorHAnsi" w:hAnsiTheme="minorHAnsi"/>
          <w:sz w:val="18"/>
          <w:szCs w:val="18"/>
        </w:rPr>
        <w:t xml:space="preserve">or equivalent </w:t>
      </w:r>
      <w:r w:rsidRPr="00A53EB6">
        <w:rPr>
          <w:rFonts w:asciiTheme="minorHAnsi" w:hAnsiTheme="minorHAnsi"/>
          <w:sz w:val="18"/>
          <w:szCs w:val="18"/>
        </w:rPr>
        <w:t>education</w:t>
      </w: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A53EB6">
        <w:rPr>
          <w:rFonts w:asciiTheme="minorHAnsi" w:hAnsiTheme="minorHAnsi"/>
          <w:sz w:val="18"/>
          <w:szCs w:val="18"/>
        </w:rPr>
        <w:t xml:space="preserve">General industry knowledge advantageous </w:t>
      </w: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A53EB6">
        <w:rPr>
          <w:rFonts w:asciiTheme="minorHAnsi" w:hAnsiTheme="minorHAnsi"/>
          <w:sz w:val="18"/>
          <w:szCs w:val="18"/>
        </w:rPr>
        <w:t xml:space="preserve">Ability to communicate clearly and concisely both orally and in writing </w:t>
      </w: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A53EB6">
        <w:rPr>
          <w:rFonts w:asciiTheme="minorHAnsi" w:hAnsiTheme="minorHAnsi"/>
          <w:sz w:val="18"/>
          <w:szCs w:val="18"/>
        </w:rPr>
        <w:t xml:space="preserve">Previous communications or investor relations experience helpful, but not </w:t>
      </w:r>
      <w:r>
        <w:rPr>
          <w:rFonts w:asciiTheme="minorHAnsi" w:hAnsiTheme="minorHAnsi"/>
          <w:sz w:val="18"/>
          <w:szCs w:val="18"/>
        </w:rPr>
        <w:t>essential</w:t>
      </w:r>
      <w:r w:rsidRPr="00A53EB6">
        <w:rPr>
          <w:rFonts w:asciiTheme="minorHAnsi" w:hAnsiTheme="minorHAnsi"/>
          <w:sz w:val="18"/>
          <w:szCs w:val="18"/>
        </w:rPr>
        <w:t xml:space="preserve"> </w:t>
      </w:r>
    </w:p>
    <w:p w:rsidR="007E564C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 good working knowledge of</w:t>
      </w:r>
      <w:r w:rsidRPr="00A53EB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Microsoft </w:t>
      </w:r>
      <w:r w:rsidRPr="00A53EB6">
        <w:rPr>
          <w:rFonts w:asciiTheme="minorHAnsi" w:hAnsiTheme="minorHAnsi"/>
          <w:sz w:val="18"/>
          <w:szCs w:val="18"/>
        </w:rPr>
        <w:t>Word, Excel, PowerPoint, and Outlook is essential</w:t>
      </w:r>
      <w:r>
        <w:rPr>
          <w:rFonts w:asciiTheme="minorHAnsi" w:hAnsiTheme="minorHAnsi"/>
          <w:sz w:val="18"/>
          <w:szCs w:val="18"/>
        </w:rPr>
        <w:t>.</w:t>
      </w: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Knowledge MS Project, content management systems and </w:t>
      </w:r>
      <w:proofErr w:type="spellStart"/>
      <w:r>
        <w:rPr>
          <w:rFonts w:asciiTheme="minorHAnsi" w:hAnsiTheme="minorHAnsi"/>
          <w:sz w:val="18"/>
          <w:szCs w:val="18"/>
        </w:rPr>
        <w:t>Sharepoint</w:t>
      </w:r>
      <w:proofErr w:type="spellEnd"/>
      <w:r>
        <w:rPr>
          <w:rFonts w:asciiTheme="minorHAnsi" w:hAnsiTheme="minorHAnsi"/>
          <w:sz w:val="18"/>
          <w:szCs w:val="18"/>
        </w:rPr>
        <w:t xml:space="preserve"> would be advantageous</w:t>
      </w:r>
    </w:p>
    <w:p w:rsidR="007E564C" w:rsidRPr="00A53EB6" w:rsidRDefault="007E564C" w:rsidP="007E564C">
      <w:pPr>
        <w:pStyle w:val="ListParagraph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Understanding</w:t>
      </w:r>
      <w:r w:rsidRPr="00A53EB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and previous experience </w:t>
      </w:r>
      <w:r w:rsidRPr="00A53EB6">
        <w:rPr>
          <w:rFonts w:asciiTheme="minorHAnsi" w:hAnsiTheme="minorHAnsi"/>
          <w:sz w:val="18"/>
          <w:szCs w:val="18"/>
        </w:rPr>
        <w:t>of social media platforms would be advantageous</w:t>
      </w:r>
    </w:p>
    <w:p w:rsidR="007E564C" w:rsidRDefault="007E564C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46A47CA" wp14:editId="0C50E2C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513A738C"/>
    <w:multiLevelType w:val="hybridMultilevel"/>
    <w:tmpl w:val="D4789B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726B8"/>
    <w:multiLevelType w:val="hybridMultilevel"/>
    <w:tmpl w:val="339E8D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89136F"/>
    <w:multiLevelType w:val="hybridMultilevel"/>
    <w:tmpl w:val="84CC17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40286"/>
    <w:multiLevelType w:val="hybridMultilevel"/>
    <w:tmpl w:val="205CC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DC53E6"/>
    <w:multiLevelType w:val="hybridMultilevel"/>
    <w:tmpl w:val="F0DE2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4DF2"/>
    <w:multiLevelType w:val="hybridMultilevel"/>
    <w:tmpl w:val="2280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2"/>
  </w:num>
  <w:num w:numId="5">
    <w:abstractNumId w:val="6"/>
  </w:num>
  <w:num w:numId="6">
    <w:abstractNumId w:val="37"/>
  </w:num>
  <w:num w:numId="7">
    <w:abstractNumId w:val="28"/>
  </w:num>
  <w:num w:numId="8">
    <w:abstractNumId w:val="12"/>
  </w:num>
  <w:num w:numId="9">
    <w:abstractNumId w:val="36"/>
  </w:num>
  <w:num w:numId="10">
    <w:abstractNumId w:val="40"/>
  </w:num>
  <w:num w:numId="11">
    <w:abstractNumId w:val="4"/>
  </w:num>
  <w:num w:numId="12">
    <w:abstractNumId w:val="15"/>
  </w:num>
  <w:num w:numId="13">
    <w:abstractNumId w:val="9"/>
  </w:num>
  <w:num w:numId="14">
    <w:abstractNumId w:val="30"/>
  </w:num>
  <w:num w:numId="15">
    <w:abstractNumId w:val="19"/>
  </w:num>
  <w:num w:numId="16">
    <w:abstractNumId w:val="31"/>
  </w:num>
  <w:num w:numId="17">
    <w:abstractNumId w:val="24"/>
  </w:num>
  <w:num w:numId="18">
    <w:abstractNumId w:val="32"/>
  </w:num>
  <w:num w:numId="19">
    <w:abstractNumId w:val="8"/>
  </w:num>
  <w:num w:numId="20">
    <w:abstractNumId w:val="17"/>
  </w:num>
  <w:num w:numId="21">
    <w:abstractNumId w:val="18"/>
  </w:num>
  <w:num w:numId="22">
    <w:abstractNumId w:val="3"/>
  </w:num>
  <w:num w:numId="23">
    <w:abstractNumId w:val="27"/>
  </w:num>
  <w:num w:numId="24">
    <w:abstractNumId w:val="20"/>
  </w:num>
  <w:num w:numId="25">
    <w:abstractNumId w:val="10"/>
  </w:num>
  <w:num w:numId="26">
    <w:abstractNumId w:val="0"/>
  </w:num>
  <w:num w:numId="27">
    <w:abstractNumId w:val="5"/>
  </w:num>
  <w:num w:numId="28">
    <w:abstractNumId w:val="26"/>
  </w:num>
  <w:num w:numId="29">
    <w:abstractNumId w:val="22"/>
  </w:num>
  <w:num w:numId="30">
    <w:abstractNumId w:val="39"/>
  </w:num>
  <w:num w:numId="31">
    <w:abstractNumId w:val="14"/>
  </w:num>
  <w:num w:numId="32">
    <w:abstractNumId w:val="11"/>
  </w:num>
  <w:num w:numId="33">
    <w:abstractNumId w:val="13"/>
  </w:num>
  <w:num w:numId="34">
    <w:abstractNumId w:val="25"/>
  </w:num>
  <w:num w:numId="35">
    <w:abstractNumId w:val="1"/>
  </w:num>
  <w:num w:numId="36">
    <w:abstractNumId w:val="42"/>
  </w:num>
  <w:num w:numId="37">
    <w:abstractNumId w:val="23"/>
  </w:num>
  <w:num w:numId="38">
    <w:abstractNumId w:val="41"/>
  </w:num>
  <w:num w:numId="39">
    <w:abstractNumId w:val="38"/>
  </w:num>
  <w:num w:numId="40">
    <w:abstractNumId w:val="16"/>
  </w:num>
  <w:num w:numId="41">
    <w:abstractNumId w:val="21"/>
  </w:num>
  <w:num w:numId="42">
    <w:abstractNumId w:val="3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2087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3542"/>
    <w:rsid w:val="002443F1"/>
    <w:rsid w:val="00254C2A"/>
    <w:rsid w:val="00285265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31123"/>
    <w:rsid w:val="00535F2C"/>
    <w:rsid w:val="00544400"/>
    <w:rsid w:val="00563316"/>
    <w:rsid w:val="0057345B"/>
    <w:rsid w:val="00597579"/>
    <w:rsid w:val="005B1982"/>
    <w:rsid w:val="005C2115"/>
    <w:rsid w:val="005C7A61"/>
    <w:rsid w:val="005D24E8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E564C"/>
    <w:rsid w:val="008539F5"/>
    <w:rsid w:val="00894231"/>
    <w:rsid w:val="008C5081"/>
    <w:rsid w:val="008D0CA9"/>
    <w:rsid w:val="008D0FE2"/>
    <w:rsid w:val="008E273B"/>
    <w:rsid w:val="008F0803"/>
    <w:rsid w:val="008F0D53"/>
    <w:rsid w:val="0098050B"/>
    <w:rsid w:val="009878B1"/>
    <w:rsid w:val="00994D3E"/>
    <w:rsid w:val="009958E9"/>
    <w:rsid w:val="009A277A"/>
    <w:rsid w:val="009A2A83"/>
    <w:rsid w:val="009A73EB"/>
    <w:rsid w:val="009C4543"/>
    <w:rsid w:val="009D0B11"/>
    <w:rsid w:val="00A31A16"/>
    <w:rsid w:val="00A3311A"/>
    <w:rsid w:val="00A34DAF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0541"/>
    <w:rsid w:val="00BB3293"/>
    <w:rsid w:val="00BF7B2E"/>
    <w:rsid w:val="00C11094"/>
    <w:rsid w:val="00C14D6D"/>
    <w:rsid w:val="00C2018D"/>
    <w:rsid w:val="00C5225D"/>
    <w:rsid w:val="00C73440"/>
    <w:rsid w:val="00C8304C"/>
    <w:rsid w:val="00CC5874"/>
    <w:rsid w:val="00CC78FE"/>
    <w:rsid w:val="00CD6936"/>
    <w:rsid w:val="00CD6C56"/>
    <w:rsid w:val="00CE75CD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A34DAF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A34DAF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FE66-6E97-4A3D-85B8-0B6100CF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3866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2016-03-02T09:34:00Z</dcterms:created>
  <dcterms:modified xsi:type="dcterms:W3CDTF">2016-03-02T09:46:00Z</dcterms:modified>
</cp:coreProperties>
</file>