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00" w:rsidRPr="009C0486" w:rsidRDefault="00544400" w:rsidP="00E52ABF">
      <w:pPr>
        <w:rPr>
          <w:rFonts w:ascii="Calibri" w:hAnsi="Calibri" w:cs="Arial"/>
          <w:color w:val="CC0000"/>
          <w:sz w:val="22"/>
          <w:szCs w:val="22"/>
        </w:rPr>
      </w:pPr>
    </w:p>
    <w:p w:rsidR="004F3F97" w:rsidRDefault="00AF1AE3" w:rsidP="00E52ABF">
      <w:pPr>
        <w:rPr>
          <w:rFonts w:ascii="Calibri" w:hAnsi="Calibri" w:cs="Arial"/>
          <w:color w:val="CC0000"/>
          <w:sz w:val="22"/>
          <w:szCs w:val="22"/>
        </w:rPr>
      </w:pPr>
      <w:r w:rsidRPr="009C0486">
        <w:rPr>
          <w:rFonts w:ascii="Calibri" w:hAnsi="Calibri" w:cs="Arial"/>
          <w:color w:val="CC0000"/>
          <w:sz w:val="22"/>
          <w:szCs w:val="22"/>
        </w:rPr>
        <w:t>Key facts</w:t>
      </w:r>
    </w:p>
    <w:p w:rsidR="00CE7996" w:rsidRPr="009C0486" w:rsidRDefault="00CE7996" w:rsidP="00E52ABF">
      <w:pPr>
        <w:rPr>
          <w:rFonts w:ascii="Calibri" w:hAnsi="Calibri" w:cs="Arial"/>
          <w:color w:val="CC0000"/>
          <w:sz w:val="22"/>
          <w:szCs w:val="22"/>
        </w:rPr>
      </w:pPr>
    </w:p>
    <w:tbl>
      <w:tblPr>
        <w:tblW w:w="0" w:type="auto"/>
        <w:tblBorders>
          <w:insideH w:val="single" w:sz="4" w:space="0" w:color="CC0000"/>
          <w:insideV w:val="single" w:sz="4" w:space="0" w:color="CC0000"/>
        </w:tblBorders>
        <w:tblLook w:val="01E0" w:firstRow="1" w:lastRow="1" w:firstColumn="1" w:lastColumn="1" w:noHBand="0" w:noVBand="0"/>
      </w:tblPr>
      <w:tblGrid>
        <w:gridCol w:w="1188"/>
        <w:gridCol w:w="3240"/>
        <w:gridCol w:w="1620"/>
        <w:gridCol w:w="2808"/>
      </w:tblGrid>
      <w:tr w:rsidR="00AF1AE3" w:rsidRPr="009C0486" w:rsidTr="008D0FE2">
        <w:tc>
          <w:tcPr>
            <w:tcW w:w="1188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9C0486" w:rsidRDefault="00AF1AE3" w:rsidP="00E52ABF">
            <w:pPr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9C0486">
              <w:rPr>
                <w:rFonts w:ascii="Calibri" w:hAnsi="Calibri" w:cs="Arial"/>
                <w:color w:val="CC0000"/>
                <w:sz w:val="22"/>
                <w:szCs w:val="22"/>
              </w:rPr>
              <w:t>Job title: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9C0486" w:rsidRDefault="00E52ABF" w:rsidP="00E52ABF">
            <w:pPr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9C0486">
              <w:rPr>
                <w:rFonts w:ascii="Calibri" w:hAnsi="Calibri" w:cs="Arial"/>
                <w:color w:val="333333"/>
                <w:sz w:val="22"/>
                <w:szCs w:val="22"/>
              </w:rPr>
              <w:t>Managing Director</w:t>
            </w:r>
          </w:p>
        </w:tc>
        <w:tc>
          <w:tcPr>
            <w:tcW w:w="1620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9C0486" w:rsidRDefault="00AF1AE3" w:rsidP="00E52ABF">
            <w:pPr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9C0486">
              <w:rPr>
                <w:rFonts w:ascii="Calibri" w:hAnsi="Calibri" w:cs="Arial"/>
                <w:color w:val="CC0000"/>
                <w:sz w:val="22"/>
                <w:szCs w:val="22"/>
              </w:rPr>
              <w:t>Location: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9C0486" w:rsidRDefault="00835C71" w:rsidP="00E52ABF">
            <w:pPr>
              <w:rPr>
                <w:rFonts w:ascii="Calibri" w:hAnsi="Calibri" w:cs="Arial"/>
                <w:color w:val="292929"/>
                <w:sz w:val="22"/>
                <w:szCs w:val="22"/>
              </w:rPr>
            </w:pPr>
            <w:r>
              <w:rPr>
                <w:rFonts w:ascii="Calibri" w:hAnsi="Calibri" w:cs="Arial"/>
                <w:color w:val="292929"/>
                <w:sz w:val="22"/>
                <w:szCs w:val="22"/>
              </w:rPr>
              <w:t>Cannock</w:t>
            </w:r>
            <w:r w:rsidR="00CE7996">
              <w:rPr>
                <w:rFonts w:ascii="Calibri" w:hAnsi="Calibri" w:cs="Arial"/>
                <w:color w:val="292929"/>
                <w:sz w:val="22"/>
                <w:szCs w:val="22"/>
              </w:rPr>
              <w:t>, Staffordshire</w:t>
            </w:r>
            <w:r w:rsidR="00C56290">
              <w:rPr>
                <w:rFonts w:ascii="Calibri" w:hAnsi="Calibri" w:cs="Arial"/>
                <w:color w:val="292929"/>
                <w:sz w:val="22"/>
                <w:szCs w:val="22"/>
              </w:rPr>
              <w:t xml:space="preserve"> </w:t>
            </w:r>
          </w:p>
        </w:tc>
      </w:tr>
      <w:tr w:rsidR="00AF1AE3" w:rsidRPr="009C0486" w:rsidTr="008D0FE2">
        <w:tc>
          <w:tcPr>
            <w:tcW w:w="1188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9C0486" w:rsidRDefault="00AF1AE3" w:rsidP="00E52ABF">
            <w:pPr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9C0486">
              <w:rPr>
                <w:rFonts w:ascii="Calibri" w:hAnsi="Calibri" w:cs="Arial"/>
                <w:color w:val="CC0000"/>
                <w:sz w:val="22"/>
                <w:szCs w:val="22"/>
              </w:rPr>
              <w:t>Business:</w:t>
            </w:r>
          </w:p>
        </w:tc>
        <w:tc>
          <w:tcPr>
            <w:tcW w:w="3240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9C0486" w:rsidRDefault="00835C71" w:rsidP="00E52ABF">
            <w:pPr>
              <w:rPr>
                <w:rFonts w:ascii="Calibri" w:hAnsi="Calibri" w:cs="Arial"/>
                <w:color w:val="292929"/>
                <w:sz w:val="22"/>
                <w:szCs w:val="22"/>
              </w:rPr>
            </w:pPr>
            <w:r>
              <w:rPr>
                <w:rFonts w:ascii="Calibri" w:hAnsi="Calibri" w:cs="Arial"/>
                <w:color w:val="292929"/>
                <w:sz w:val="22"/>
                <w:szCs w:val="22"/>
              </w:rPr>
              <w:t>North Midlands</w:t>
            </w:r>
          </w:p>
        </w:tc>
        <w:tc>
          <w:tcPr>
            <w:tcW w:w="1620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9C0486" w:rsidRDefault="00AF1AE3" w:rsidP="00E52ABF">
            <w:pPr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9C0486">
              <w:rPr>
                <w:rFonts w:ascii="Calibri" w:hAnsi="Calibri" w:cs="Arial"/>
                <w:color w:val="CC0000"/>
                <w:sz w:val="22"/>
                <w:szCs w:val="22"/>
              </w:rPr>
              <w:t>Report to:</w:t>
            </w:r>
          </w:p>
        </w:tc>
        <w:tc>
          <w:tcPr>
            <w:tcW w:w="2808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9C0486" w:rsidRDefault="00E52ABF" w:rsidP="00E52ABF">
            <w:pPr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9C0486">
              <w:rPr>
                <w:rFonts w:ascii="Calibri" w:hAnsi="Calibri" w:cs="Arial"/>
                <w:color w:val="333333"/>
                <w:sz w:val="22"/>
                <w:szCs w:val="22"/>
              </w:rPr>
              <w:t>Divisional Managing Director</w:t>
            </w:r>
          </w:p>
        </w:tc>
      </w:tr>
    </w:tbl>
    <w:p w:rsidR="00254C2A" w:rsidRPr="009C0486" w:rsidRDefault="00254C2A" w:rsidP="00E52ABF">
      <w:pPr>
        <w:rPr>
          <w:rFonts w:ascii="Calibri" w:hAnsi="Calibri" w:cs="Arial"/>
          <w:color w:val="000080"/>
          <w:sz w:val="22"/>
          <w:szCs w:val="22"/>
        </w:rPr>
      </w:pPr>
    </w:p>
    <w:p w:rsidR="00AF1AE3" w:rsidRPr="009C0486" w:rsidRDefault="00AF1AE3" w:rsidP="00E52ABF">
      <w:pPr>
        <w:rPr>
          <w:rFonts w:ascii="Calibri" w:hAnsi="Calibri" w:cs="Arial"/>
          <w:color w:val="CC0000"/>
          <w:sz w:val="22"/>
          <w:szCs w:val="22"/>
        </w:rPr>
      </w:pPr>
      <w:r w:rsidRPr="009C0486">
        <w:rPr>
          <w:rFonts w:ascii="Calibri" w:hAnsi="Calibri" w:cs="Arial"/>
          <w:color w:val="CC0000"/>
          <w:sz w:val="22"/>
          <w:szCs w:val="22"/>
        </w:rPr>
        <w:t>The purpose of the role</w:t>
      </w:r>
    </w:p>
    <w:p w:rsidR="00F11386" w:rsidRDefault="00F11386" w:rsidP="003C1504">
      <w:pPr>
        <w:rPr>
          <w:rFonts w:ascii="Calibri" w:hAnsi="Calibri" w:cs="Arial"/>
          <w:sz w:val="22"/>
          <w:szCs w:val="22"/>
        </w:rPr>
      </w:pPr>
    </w:p>
    <w:p w:rsidR="00F11386" w:rsidRDefault="00F11386" w:rsidP="00F11386">
      <w:pPr>
        <w:rPr>
          <w:rFonts w:ascii="Calibri" w:hAnsi="Calibri"/>
          <w:sz w:val="22"/>
          <w:szCs w:val="22"/>
        </w:rPr>
      </w:pPr>
      <w:r w:rsidRPr="000179CC">
        <w:rPr>
          <w:rFonts w:ascii="Calibri" w:hAnsi="Calibri"/>
          <w:sz w:val="22"/>
          <w:szCs w:val="22"/>
        </w:rPr>
        <w:t xml:space="preserve">To lead the </w:t>
      </w:r>
      <w:r>
        <w:rPr>
          <w:rFonts w:ascii="Calibri" w:hAnsi="Calibri"/>
          <w:sz w:val="22"/>
          <w:szCs w:val="22"/>
        </w:rPr>
        <w:t>business unit</w:t>
      </w:r>
      <w:r w:rsidRPr="000179CC">
        <w:rPr>
          <w:rFonts w:ascii="Calibri" w:hAnsi="Calibri"/>
          <w:sz w:val="22"/>
          <w:szCs w:val="22"/>
        </w:rPr>
        <w:t xml:space="preserve">, ensuring that short and long term targets are achieved and business operations support the Taylor Wimpey Business Strategy. </w:t>
      </w:r>
    </w:p>
    <w:p w:rsidR="00F11386" w:rsidRDefault="00F11386" w:rsidP="00F11386">
      <w:pPr>
        <w:rPr>
          <w:rFonts w:ascii="Calibri" w:hAnsi="Calibri"/>
          <w:sz w:val="22"/>
          <w:szCs w:val="22"/>
        </w:rPr>
      </w:pPr>
    </w:p>
    <w:p w:rsidR="00F11386" w:rsidRDefault="00F11386" w:rsidP="00F11386">
      <w:pPr>
        <w:rPr>
          <w:rFonts w:ascii="Calibri" w:hAnsi="Calibri"/>
          <w:sz w:val="22"/>
          <w:szCs w:val="22"/>
        </w:rPr>
      </w:pPr>
      <w:r w:rsidRPr="000179CC">
        <w:rPr>
          <w:rFonts w:ascii="Calibri" w:hAnsi="Calibri"/>
          <w:sz w:val="22"/>
          <w:szCs w:val="22"/>
        </w:rPr>
        <w:t xml:space="preserve">Drive a continuous improvement, customer centric agenda, challenging the status quo and proactively identifying operational enhancements. </w:t>
      </w:r>
    </w:p>
    <w:p w:rsidR="00F11386" w:rsidRDefault="00F11386" w:rsidP="00F11386">
      <w:pPr>
        <w:rPr>
          <w:rFonts w:ascii="Calibri" w:hAnsi="Calibri"/>
          <w:sz w:val="22"/>
          <w:szCs w:val="22"/>
        </w:rPr>
      </w:pPr>
    </w:p>
    <w:p w:rsidR="00F11386" w:rsidRPr="000179CC" w:rsidRDefault="00F11386" w:rsidP="00F11386">
      <w:pPr>
        <w:rPr>
          <w:rFonts w:ascii="Calibri" w:hAnsi="Calibri"/>
          <w:sz w:val="22"/>
          <w:szCs w:val="22"/>
        </w:rPr>
      </w:pPr>
      <w:r w:rsidRPr="000179CC">
        <w:rPr>
          <w:rFonts w:ascii="Calibri" w:hAnsi="Calibri"/>
          <w:sz w:val="22"/>
          <w:szCs w:val="22"/>
        </w:rPr>
        <w:t xml:space="preserve">Ensure that the </w:t>
      </w:r>
      <w:r>
        <w:rPr>
          <w:rFonts w:ascii="Calibri" w:hAnsi="Calibri"/>
          <w:sz w:val="22"/>
          <w:szCs w:val="22"/>
        </w:rPr>
        <w:t>business</w:t>
      </w:r>
      <w:r w:rsidRPr="000179CC">
        <w:rPr>
          <w:rFonts w:ascii="Calibri" w:hAnsi="Calibri"/>
          <w:sz w:val="22"/>
          <w:szCs w:val="22"/>
        </w:rPr>
        <w:t xml:space="preserve"> is bought into and clear about the company direction. Build sustainable performance </w:t>
      </w:r>
      <w:r>
        <w:rPr>
          <w:rFonts w:ascii="Calibri" w:hAnsi="Calibri"/>
          <w:sz w:val="22"/>
          <w:szCs w:val="22"/>
        </w:rPr>
        <w:t>b</w:t>
      </w:r>
      <w:r w:rsidRPr="000179CC">
        <w:rPr>
          <w:rFonts w:ascii="Calibri" w:hAnsi="Calibri"/>
          <w:sz w:val="22"/>
          <w:szCs w:val="22"/>
        </w:rPr>
        <w:t xml:space="preserve">y raising the bar in people capability and ensuring that the quality of talent within the </w:t>
      </w:r>
      <w:r>
        <w:rPr>
          <w:rFonts w:ascii="Calibri" w:hAnsi="Calibri"/>
          <w:sz w:val="22"/>
          <w:szCs w:val="22"/>
        </w:rPr>
        <w:t xml:space="preserve">business unit </w:t>
      </w:r>
      <w:r w:rsidRPr="000179CC">
        <w:rPr>
          <w:rFonts w:ascii="Calibri" w:hAnsi="Calibri"/>
          <w:sz w:val="22"/>
          <w:szCs w:val="22"/>
        </w:rPr>
        <w:t xml:space="preserve">is able to deliver </w:t>
      </w:r>
      <w:r>
        <w:rPr>
          <w:rFonts w:ascii="Calibri" w:hAnsi="Calibri"/>
          <w:sz w:val="22"/>
          <w:szCs w:val="22"/>
        </w:rPr>
        <w:t xml:space="preserve">its </w:t>
      </w:r>
      <w:r w:rsidRPr="000179CC">
        <w:rPr>
          <w:rFonts w:ascii="Calibri" w:hAnsi="Calibri"/>
          <w:sz w:val="22"/>
          <w:szCs w:val="22"/>
        </w:rPr>
        <w:t>futur</w:t>
      </w:r>
      <w:r>
        <w:rPr>
          <w:rFonts w:ascii="Calibri" w:hAnsi="Calibri"/>
          <w:sz w:val="22"/>
          <w:szCs w:val="22"/>
        </w:rPr>
        <w:t>e requirements.</w:t>
      </w:r>
    </w:p>
    <w:p w:rsidR="00F11386" w:rsidRDefault="00F11386" w:rsidP="003C1504">
      <w:pPr>
        <w:rPr>
          <w:rFonts w:ascii="Calibri" w:hAnsi="Calibri" w:cs="Arial"/>
          <w:sz w:val="22"/>
          <w:szCs w:val="22"/>
        </w:rPr>
      </w:pPr>
    </w:p>
    <w:p w:rsidR="00AF1AE3" w:rsidRPr="009C0486" w:rsidRDefault="00D2067F" w:rsidP="00E52ABF">
      <w:pPr>
        <w:rPr>
          <w:rFonts w:ascii="Calibri" w:hAnsi="Calibri" w:cs="Arial"/>
          <w:color w:val="CC0000"/>
          <w:sz w:val="22"/>
          <w:szCs w:val="22"/>
        </w:rPr>
      </w:pPr>
      <w:r w:rsidRPr="009C0486">
        <w:rPr>
          <w:rFonts w:ascii="Calibri" w:hAnsi="Calibri" w:cs="Arial"/>
          <w:color w:val="CC0000"/>
          <w:sz w:val="22"/>
          <w:szCs w:val="22"/>
        </w:rPr>
        <w:t xml:space="preserve">Key </w:t>
      </w:r>
      <w:r w:rsidR="00DC2A29" w:rsidRPr="009C0486">
        <w:rPr>
          <w:rFonts w:ascii="Calibri" w:hAnsi="Calibri" w:cs="Arial"/>
          <w:color w:val="CC0000"/>
          <w:sz w:val="22"/>
          <w:szCs w:val="22"/>
        </w:rPr>
        <w:t>a</w:t>
      </w:r>
      <w:r w:rsidR="00DC2A29">
        <w:rPr>
          <w:rFonts w:ascii="Calibri" w:hAnsi="Calibri" w:cs="Arial"/>
          <w:color w:val="CC0000"/>
          <w:sz w:val="22"/>
          <w:szCs w:val="22"/>
        </w:rPr>
        <w:t>ccountabilities</w:t>
      </w:r>
    </w:p>
    <w:p w:rsidR="00AF1AE3" w:rsidRPr="009C0486" w:rsidRDefault="00AF1AE3" w:rsidP="00E52ABF">
      <w:pPr>
        <w:rPr>
          <w:rFonts w:ascii="Calibri" w:hAnsi="Calibri" w:cs="Arial"/>
          <w:sz w:val="22"/>
          <w:szCs w:val="22"/>
        </w:rPr>
      </w:pPr>
    </w:p>
    <w:p w:rsidR="00187B0A" w:rsidRPr="009C0486" w:rsidRDefault="00187B0A" w:rsidP="00187B0A">
      <w:pPr>
        <w:pStyle w:val="PlainText"/>
        <w:rPr>
          <w:b/>
          <w:szCs w:val="22"/>
        </w:rPr>
      </w:pPr>
      <w:r w:rsidRPr="009C0486">
        <w:rPr>
          <w:b/>
          <w:szCs w:val="22"/>
        </w:rPr>
        <w:t>Business Performance &amp; Growth</w:t>
      </w:r>
    </w:p>
    <w:p w:rsidR="00187B0A" w:rsidRPr="009C0486" w:rsidRDefault="00187B0A" w:rsidP="00187B0A">
      <w:pPr>
        <w:pStyle w:val="PlainText"/>
        <w:numPr>
          <w:ilvl w:val="0"/>
          <w:numId w:val="13"/>
        </w:numPr>
        <w:rPr>
          <w:szCs w:val="22"/>
        </w:rPr>
      </w:pPr>
      <w:r w:rsidRPr="009C0486">
        <w:rPr>
          <w:szCs w:val="22"/>
        </w:rPr>
        <w:t xml:space="preserve">Effectively manage the </w:t>
      </w:r>
      <w:r w:rsidR="00A14BB4" w:rsidRPr="009C0486">
        <w:rPr>
          <w:szCs w:val="22"/>
        </w:rPr>
        <w:t xml:space="preserve">business unit </w:t>
      </w:r>
      <w:r w:rsidRPr="009C0486">
        <w:rPr>
          <w:szCs w:val="22"/>
        </w:rPr>
        <w:t xml:space="preserve">to achieve the financial and non financial targets agreed, ensuring decisions are taken in the best interest of the </w:t>
      </w:r>
      <w:r w:rsidR="005C002A" w:rsidRPr="009C0486">
        <w:rPr>
          <w:szCs w:val="22"/>
        </w:rPr>
        <w:t>group</w:t>
      </w:r>
      <w:r w:rsidRPr="009C0486">
        <w:rPr>
          <w:szCs w:val="22"/>
        </w:rPr>
        <w:t xml:space="preserve">. </w:t>
      </w:r>
    </w:p>
    <w:p w:rsidR="005C002A" w:rsidRPr="009C0486" w:rsidRDefault="005C002A" w:rsidP="005C002A">
      <w:pPr>
        <w:pStyle w:val="PlainText"/>
        <w:numPr>
          <w:ilvl w:val="0"/>
          <w:numId w:val="13"/>
        </w:numPr>
        <w:rPr>
          <w:szCs w:val="22"/>
        </w:rPr>
      </w:pPr>
      <w:r w:rsidRPr="009C0486">
        <w:rPr>
          <w:szCs w:val="22"/>
        </w:rPr>
        <w:t xml:space="preserve">Critically assess, acquire and develop land opportunities to ensure a sufficient pipeline to achieve divisional growth plans. </w:t>
      </w:r>
    </w:p>
    <w:p w:rsidR="00187B0A" w:rsidRPr="009C0486" w:rsidRDefault="00187B0A" w:rsidP="00187B0A">
      <w:pPr>
        <w:pStyle w:val="PlainText"/>
        <w:rPr>
          <w:szCs w:val="22"/>
        </w:rPr>
      </w:pPr>
    </w:p>
    <w:p w:rsidR="00187B0A" w:rsidRPr="009C0486" w:rsidRDefault="00187B0A" w:rsidP="00187B0A">
      <w:pPr>
        <w:pStyle w:val="PlainText"/>
        <w:rPr>
          <w:b/>
          <w:szCs w:val="22"/>
        </w:rPr>
      </w:pPr>
      <w:r w:rsidRPr="009C0486">
        <w:rPr>
          <w:b/>
          <w:szCs w:val="22"/>
        </w:rPr>
        <w:t>Leadership and Culture</w:t>
      </w:r>
    </w:p>
    <w:p w:rsidR="00187B0A" w:rsidRPr="009C0486" w:rsidRDefault="00187B0A" w:rsidP="00187B0A">
      <w:pPr>
        <w:pStyle w:val="PlainText"/>
        <w:numPr>
          <w:ilvl w:val="0"/>
          <w:numId w:val="14"/>
        </w:numPr>
        <w:rPr>
          <w:szCs w:val="22"/>
        </w:rPr>
      </w:pPr>
      <w:r w:rsidRPr="009C0486">
        <w:rPr>
          <w:szCs w:val="22"/>
        </w:rPr>
        <w:t xml:space="preserve">Provide strong and inspiring leadership across the </w:t>
      </w:r>
      <w:r w:rsidR="005C002A" w:rsidRPr="009C0486">
        <w:rPr>
          <w:szCs w:val="22"/>
        </w:rPr>
        <w:t>business unit</w:t>
      </w:r>
      <w:r w:rsidRPr="009C0486">
        <w:rPr>
          <w:szCs w:val="22"/>
        </w:rPr>
        <w:t>.</w:t>
      </w:r>
    </w:p>
    <w:p w:rsidR="00187B0A" w:rsidRPr="009C0486" w:rsidRDefault="00187B0A" w:rsidP="00187B0A">
      <w:pPr>
        <w:pStyle w:val="PlainText"/>
        <w:numPr>
          <w:ilvl w:val="0"/>
          <w:numId w:val="14"/>
        </w:numPr>
        <w:rPr>
          <w:szCs w:val="22"/>
        </w:rPr>
      </w:pPr>
      <w:r w:rsidRPr="009C0486">
        <w:rPr>
          <w:szCs w:val="22"/>
        </w:rPr>
        <w:t xml:space="preserve">Drive employee engagement </w:t>
      </w:r>
      <w:r w:rsidR="005C002A" w:rsidRPr="009C0486">
        <w:rPr>
          <w:szCs w:val="22"/>
        </w:rPr>
        <w:t>thr</w:t>
      </w:r>
      <w:r w:rsidRPr="009C0486">
        <w:rPr>
          <w:szCs w:val="22"/>
        </w:rPr>
        <w:t>ough a collaborative and empowering leadership approach.</w:t>
      </w:r>
    </w:p>
    <w:p w:rsidR="00187B0A" w:rsidRPr="009C0486" w:rsidRDefault="00187B0A" w:rsidP="00187B0A">
      <w:pPr>
        <w:pStyle w:val="PlainText"/>
        <w:numPr>
          <w:ilvl w:val="0"/>
          <w:numId w:val="14"/>
        </w:numPr>
        <w:rPr>
          <w:szCs w:val="22"/>
        </w:rPr>
      </w:pPr>
      <w:r w:rsidRPr="009C0486">
        <w:rPr>
          <w:szCs w:val="22"/>
        </w:rPr>
        <w:t xml:space="preserve">Drive sustainable performance through active ownership of the talent and performance management agenda for the </w:t>
      </w:r>
      <w:r w:rsidR="005C002A" w:rsidRPr="009C0486">
        <w:rPr>
          <w:szCs w:val="22"/>
        </w:rPr>
        <w:t>business unit</w:t>
      </w:r>
      <w:r w:rsidRPr="009C0486">
        <w:rPr>
          <w:szCs w:val="22"/>
        </w:rPr>
        <w:t xml:space="preserve">. </w:t>
      </w:r>
    </w:p>
    <w:p w:rsidR="00187B0A" w:rsidRPr="009C0486" w:rsidRDefault="00187B0A" w:rsidP="00187B0A">
      <w:pPr>
        <w:pStyle w:val="PlainText"/>
        <w:numPr>
          <w:ilvl w:val="0"/>
          <w:numId w:val="14"/>
        </w:numPr>
        <w:rPr>
          <w:szCs w:val="22"/>
        </w:rPr>
      </w:pPr>
      <w:r w:rsidRPr="009C0486">
        <w:rPr>
          <w:szCs w:val="22"/>
        </w:rPr>
        <w:t xml:space="preserve">Develop high performance teams by ensuring the recruitment, development and retention of high potential people within leadership roles. </w:t>
      </w:r>
    </w:p>
    <w:p w:rsidR="00187B0A" w:rsidRPr="009C0486" w:rsidRDefault="00187B0A" w:rsidP="00187B0A">
      <w:pPr>
        <w:pStyle w:val="PlainText"/>
        <w:rPr>
          <w:szCs w:val="22"/>
        </w:rPr>
      </w:pPr>
    </w:p>
    <w:p w:rsidR="00187B0A" w:rsidRPr="009C0486" w:rsidRDefault="00187B0A" w:rsidP="00187B0A">
      <w:pPr>
        <w:pStyle w:val="PlainText"/>
        <w:rPr>
          <w:b/>
          <w:szCs w:val="22"/>
        </w:rPr>
      </w:pPr>
      <w:r w:rsidRPr="009C0486">
        <w:rPr>
          <w:b/>
          <w:szCs w:val="22"/>
        </w:rPr>
        <w:t>Operational Excellence</w:t>
      </w:r>
    </w:p>
    <w:p w:rsidR="00187B0A" w:rsidRPr="009C0486" w:rsidRDefault="00187B0A" w:rsidP="00187B0A">
      <w:pPr>
        <w:pStyle w:val="PlainText"/>
        <w:numPr>
          <w:ilvl w:val="0"/>
          <w:numId w:val="15"/>
        </w:numPr>
        <w:rPr>
          <w:szCs w:val="22"/>
        </w:rPr>
      </w:pPr>
      <w:r w:rsidRPr="009C0486">
        <w:rPr>
          <w:szCs w:val="22"/>
        </w:rPr>
        <w:t xml:space="preserve">Drive a culture of continuous improvement and innovation </w:t>
      </w:r>
      <w:r w:rsidR="005C002A" w:rsidRPr="009C0486">
        <w:rPr>
          <w:szCs w:val="22"/>
        </w:rPr>
        <w:t>within the business unit</w:t>
      </w:r>
      <w:r w:rsidRPr="009C0486">
        <w:rPr>
          <w:szCs w:val="22"/>
        </w:rPr>
        <w:t xml:space="preserve"> ensuring practises and processes are regularly reviewed, enhanced and optimised. </w:t>
      </w:r>
    </w:p>
    <w:p w:rsidR="00187B0A" w:rsidRPr="009C0486" w:rsidRDefault="00187B0A" w:rsidP="00187B0A">
      <w:pPr>
        <w:pStyle w:val="PlainText"/>
        <w:numPr>
          <w:ilvl w:val="0"/>
          <w:numId w:val="15"/>
        </w:numPr>
        <w:rPr>
          <w:szCs w:val="22"/>
        </w:rPr>
      </w:pPr>
      <w:r w:rsidRPr="009C0486">
        <w:rPr>
          <w:szCs w:val="22"/>
        </w:rPr>
        <w:t>Maintain a close working relationship across the</w:t>
      </w:r>
      <w:r w:rsidR="005C002A" w:rsidRPr="009C0486">
        <w:rPr>
          <w:szCs w:val="22"/>
        </w:rPr>
        <w:t xml:space="preserve"> business unit</w:t>
      </w:r>
      <w:r w:rsidRPr="009C0486">
        <w:rPr>
          <w:szCs w:val="22"/>
        </w:rPr>
        <w:t xml:space="preserve"> by regularly undertaking site visits. </w:t>
      </w:r>
    </w:p>
    <w:p w:rsidR="00187B0A" w:rsidRPr="009C0486" w:rsidRDefault="002C733E" w:rsidP="00187B0A">
      <w:pPr>
        <w:pStyle w:val="PlainText"/>
        <w:numPr>
          <w:ilvl w:val="0"/>
          <w:numId w:val="15"/>
        </w:numPr>
        <w:rPr>
          <w:szCs w:val="22"/>
        </w:rPr>
      </w:pPr>
      <w:r w:rsidRPr="009C0486">
        <w:rPr>
          <w:szCs w:val="22"/>
        </w:rPr>
        <w:t xml:space="preserve">Ensure all current and new H&amp;S standards are adopted and actively maintained in line with our strategic goals and regulations, and that all employees remain safe at all times. </w:t>
      </w:r>
    </w:p>
    <w:p w:rsidR="00F11386" w:rsidRPr="009C0486" w:rsidRDefault="00F11386" w:rsidP="00F11386">
      <w:pPr>
        <w:pStyle w:val="PlainText"/>
        <w:numPr>
          <w:ilvl w:val="0"/>
          <w:numId w:val="15"/>
        </w:numPr>
        <w:rPr>
          <w:szCs w:val="22"/>
        </w:rPr>
      </w:pPr>
      <w:r w:rsidRPr="009C0486">
        <w:rPr>
          <w:szCs w:val="22"/>
        </w:rPr>
        <w:t>Ensure awareness of political, industry related and environmental developments which may impact TW.</w:t>
      </w:r>
    </w:p>
    <w:p w:rsidR="00187B0A" w:rsidRPr="009C0486" w:rsidRDefault="005C002A" w:rsidP="00187B0A">
      <w:pPr>
        <w:pStyle w:val="PlainText"/>
        <w:rPr>
          <w:b/>
          <w:szCs w:val="22"/>
        </w:rPr>
      </w:pPr>
      <w:r w:rsidRPr="009C0486">
        <w:rPr>
          <w:szCs w:val="22"/>
        </w:rPr>
        <w:br w:type="page"/>
      </w:r>
      <w:r w:rsidR="00187B0A" w:rsidRPr="009C0486">
        <w:rPr>
          <w:b/>
          <w:szCs w:val="22"/>
        </w:rPr>
        <w:lastRenderedPageBreak/>
        <w:t>Customer Delivery</w:t>
      </w:r>
    </w:p>
    <w:p w:rsidR="00187B0A" w:rsidRPr="009C0486" w:rsidRDefault="00187B0A" w:rsidP="00187B0A">
      <w:pPr>
        <w:pStyle w:val="PlainText"/>
        <w:numPr>
          <w:ilvl w:val="0"/>
          <w:numId w:val="16"/>
        </w:numPr>
        <w:rPr>
          <w:szCs w:val="22"/>
        </w:rPr>
      </w:pPr>
      <w:r w:rsidRPr="009C0486">
        <w:rPr>
          <w:szCs w:val="22"/>
        </w:rPr>
        <w:t xml:space="preserve">Embed and drive a customer focused culture by driving sustainable improvements and sharing best practises as a consequence of customer feedback and insight. </w:t>
      </w:r>
    </w:p>
    <w:p w:rsidR="00187B0A" w:rsidRPr="009C0486" w:rsidRDefault="00187B0A" w:rsidP="00187B0A">
      <w:pPr>
        <w:pStyle w:val="PlainText"/>
        <w:numPr>
          <w:ilvl w:val="0"/>
          <w:numId w:val="16"/>
        </w:numPr>
        <w:rPr>
          <w:szCs w:val="22"/>
        </w:rPr>
      </w:pPr>
      <w:r w:rsidRPr="009C0486">
        <w:rPr>
          <w:szCs w:val="22"/>
        </w:rPr>
        <w:t xml:space="preserve">Drive a continuous improvement culture which improves the customer experience and responds to consumer trends </w:t>
      </w:r>
      <w:r w:rsidR="00F11386">
        <w:rPr>
          <w:szCs w:val="22"/>
        </w:rPr>
        <w:t>locally.</w:t>
      </w:r>
    </w:p>
    <w:p w:rsidR="00E25C00" w:rsidRPr="009C0486" w:rsidRDefault="00E25C00" w:rsidP="00E52ABF">
      <w:pPr>
        <w:rPr>
          <w:rFonts w:ascii="Calibri" w:hAnsi="Calibri" w:cs="Arial"/>
          <w:sz w:val="22"/>
          <w:szCs w:val="22"/>
        </w:rPr>
      </w:pPr>
    </w:p>
    <w:p w:rsidR="002C685F" w:rsidRDefault="002C685F" w:rsidP="002C685F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9C0486">
        <w:rPr>
          <w:rFonts w:ascii="Calibri" w:hAnsi="Calibri" w:cs="Arial"/>
          <w:color w:val="CC0000"/>
          <w:sz w:val="22"/>
          <w:szCs w:val="22"/>
        </w:rPr>
        <w:t>Key Competencies</w:t>
      </w:r>
    </w:p>
    <w:p w:rsidR="00DC2A29" w:rsidRPr="009C0486" w:rsidRDefault="00DC2A29" w:rsidP="002C685F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2C685F" w:rsidRPr="009C0486" w:rsidRDefault="002C685F" w:rsidP="002C685F">
      <w:pPr>
        <w:rPr>
          <w:rFonts w:ascii="Calibri" w:hAnsi="Calibri" w:cs="Arial"/>
          <w:sz w:val="22"/>
          <w:szCs w:val="22"/>
        </w:rPr>
      </w:pPr>
      <w:r w:rsidRPr="009C0486">
        <w:rPr>
          <w:rFonts w:ascii="Calibri" w:hAnsi="Calibri" w:cs="Arial"/>
          <w:b/>
          <w:sz w:val="22"/>
          <w:szCs w:val="22"/>
        </w:rPr>
        <w:t>Leadership</w:t>
      </w:r>
      <w:r w:rsidRPr="009C0486">
        <w:rPr>
          <w:rFonts w:ascii="Calibri" w:hAnsi="Calibri" w:cs="Arial"/>
          <w:b/>
          <w:sz w:val="22"/>
          <w:szCs w:val="22"/>
          <w:lang w:eastAsia="en-GB"/>
        </w:rPr>
        <w:t xml:space="preserve"> </w:t>
      </w:r>
      <w:r w:rsidRPr="009C0486">
        <w:rPr>
          <w:rFonts w:ascii="Calibri" w:hAnsi="Calibri" w:cs="Arial"/>
          <w:sz w:val="22"/>
          <w:szCs w:val="22"/>
          <w:lang w:eastAsia="en-GB"/>
        </w:rPr>
        <w:t>– embraces responsibilities fully, develops potential and inspires people to follow.</w:t>
      </w:r>
    </w:p>
    <w:p w:rsidR="002C685F" w:rsidRPr="009C0486" w:rsidRDefault="002C685F" w:rsidP="002C685F">
      <w:pPr>
        <w:jc w:val="both"/>
        <w:rPr>
          <w:rFonts w:ascii="Calibri" w:hAnsi="Calibri" w:cs="Arial"/>
          <w:sz w:val="22"/>
          <w:szCs w:val="22"/>
        </w:rPr>
      </w:pPr>
    </w:p>
    <w:p w:rsidR="002C685F" w:rsidRPr="009C0486" w:rsidRDefault="002C685F" w:rsidP="002C685F">
      <w:pPr>
        <w:rPr>
          <w:rFonts w:ascii="Calibri" w:hAnsi="Calibri" w:cs="Arial"/>
          <w:sz w:val="22"/>
          <w:szCs w:val="22"/>
        </w:rPr>
      </w:pPr>
      <w:r w:rsidRPr="009C0486">
        <w:rPr>
          <w:rFonts w:ascii="Calibri" w:hAnsi="Calibri" w:cs="Arial"/>
          <w:b/>
          <w:sz w:val="22"/>
          <w:szCs w:val="22"/>
        </w:rPr>
        <w:t xml:space="preserve">Strategic Thinking </w:t>
      </w:r>
      <w:r w:rsidRPr="009C0486">
        <w:rPr>
          <w:rFonts w:ascii="Calibri" w:hAnsi="Calibri" w:cs="Arial"/>
          <w:sz w:val="22"/>
          <w:szCs w:val="22"/>
        </w:rPr>
        <w:t xml:space="preserve">– identifies </w:t>
      </w:r>
      <w:r w:rsidRPr="009C0486">
        <w:rPr>
          <w:rFonts w:ascii="Calibri" w:hAnsi="Calibri" w:cs="Arial"/>
          <w:sz w:val="22"/>
          <w:szCs w:val="22"/>
          <w:lang w:eastAsia="en-GB"/>
        </w:rPr>
        <w:t>future needs and is proactive in progressing from current practices.</w:t>
      </w:r>
    </w:p>
    <w:p w:rsidR="002C685F" w:rsidRPr="009C0486" w:rsidRDefault="002C685F" w:rsidP="002C685F">
      <w:pPr>
        <w:jc w:val="both"/>
        <w:rPr>
          <w:rFonts w:ascii="Calibri" w:hAnsi="Calibri" w:cs="Arial"/>
          <w:b/>
          <w:sz w:val="22"/>
          <w:szCs w:val="22"/>
          <w:lang w:eastAsia="en-GB"/>
        </w:rPr>
      </w:pPr>
    </w:p>
    <w:p w:rsidR="002C685F" w:rsidRPr="009C0486" w:rsidRDefault="002C685F" w:rsidP="002C685F">
      <w:pPr>
        <w:rPr>
          <w:rFonts w:ascii="Calibri" w:hAnsi="Calibri" w:cs="Arial"/>
          <w:sz w:val="22"/>
          <w:szCs w:val="22"/>
        </w:rPr>
      </w:pPr>
      <w:r w:rsidRPr="009C0486">
        <w:rPr>
          <w:rFonts w:ascii="Calibri" w:hAnsi="Calibri" w:cs="Arial"/>
          <w:b/>
          <w:sz w:val="22"/>
          <w:szCs w:val="22"/>
        </w:rPr>
        <w:t xml:space="preserve">Customer Focus </w:t>
      </w:r>
      <w:r w:rsidRPr="009C0486">
        <w:rPr>
          <w:rFonts w:ascii="Calibri" w:hAnsi="Calibri" w:cs="Arial"/>
          <w:sz w:val="22"/>
          <w:szCs w:val="22"/>
        </w:rPr>
        <w:t xml:space="preserve">– develops and inspires </w:t>
      </w:r>
      <w:r w:rsidRPr="009C0486">
        <w:rPr>
          <w:rFonts w:ascii="Calibri" w:hAnsi="Calibri" w:cs="Arial"/>
          <w:sz w:val="22"/>
          <w:szCs w:val="22"/>
          <w:lang w:eastAsia="en-GB"/>
        </w:rPr>
        <w:t>strong long term working relationships with all stakeholders, internal &amp; external.</w:t>
      </w:r>
    </w:p>
    <w:p w:rsidR="002C685F" w:rsidRPr="009C0486" w:rsidRDefault="002C685F" w:rsidP="002C685F">
      <w:pPr>
        <w:jc w:val="both"/>
        <w:rPr>
          <w:rFonts w:ascii="Calibri" w:hAnsi="Calibri" w:cs="Arial"/>
          <w:b/>
          <w:sz w:val="22"/>
          <w:szCs w:val="22"/>
          <w:lang w:eastAsia="en-GB"/>
        </w:rPr>
      </w:pPr>
    </w:p>
    <w:p w:rsidR="002C685F" w:rsidRPr="009C0486" w:rsidRDefault="002C685F" w:rsidP="002C685F">
      <w:pPr>
        <w:rPr>
          <w:rFonts w:ascii="Calibri" w:hAnsi="Calibri" w:cs="Arial"/>
          <w:b/>
          <w:sz w:val="22"/>
          <w:szCs w:val="22"/>
        </w:rPr>
      </w:pPr>
      <w:r w:rsidRPr="009C0486">
        <w:rPr>
          <w:rFonts w:ascii="Calibri" w:hAnsi="Calibri" w:cs="Arial"/>
          <w:b/>
          <w:sz w:val="22"/>
          <w:szCs w:val="22"/>
        </w:rPr>
        <w:t xml:space="preserve">Communication </w:t>
      </w:r>
      <w:r w:rsidRPr="009C0486">
        <w:rPr>
          <w:rFonts w:ascii="Calibri" w:hAnsi="Calibri" w:cs="Arial"/>
          <w:sz w:val="22"/>
          <w:szCs w:val="22"/>
        </w:rPr>
        <w:t xml:space="preserve">– persuades, </w:t>
      </w:r>
      <w:r w:rsidRPr="009C0486">
        <w:rPr>
          <w:rFonts w:ascii="Calibri" w:hAnsi="Calibri" w:cs="Arial"/>
          <w:sz w:val="22"/>
          <w:szCs w:val="22"/>
          <w:lang w:eastAsia="en-GB"/>
        </w:rPr>
        <w:t>influences and inspires others, gaining agreement and acceptance even from those who are not direct reports.</w:t>
      </w:r>
    </w:p>
    <w:p w:rsidR="002C685F" w:rsidRPr="009C0486" w:rsidRDefault="002C685F" w:rsidP="002C685F">
      <w:pPr>
        <w:rPr>
          <w:rFonts w:ascii="Calibri" w:hAnsi="Calibri" w:cs="Arial"/>
          <w:sz w:val="22"/>
          <w:szCs w:val="22"/>
        </w:rPr>
      </w:pPr>
    </w:p>
    <w:p w:rsidR="002C685F" w:rsidRPr="009C0486" w:rsidRDefault="002C685F" w:rsidP="002C685F">
      <w:pPr>
        <w:rPr>
          <w:rFonts w:ascii="Calibri" w:hAnsi="Calibri" w:cs="Arial"/>
          <w:sz w:val="22"/>
          <w:szCs w:val="22"/>
        </w:rPr>
      </w:pPr>
      <w:r w:rsidRPr="009C0486">
        <w:rPr>
          <w:rFonts w:ascii="Calibri" w:hAnsi="Calibri" w:cs="Arial"/>
          <w:b/>
          <w:sz w:val="22"/>
          <w:szCs w:val="22"/>
        </w:rPr>
        <w:t xml:space="preserve">Teamwork </w:t>
      </w:r>
      <w:r w:rsidRPr="009C0486">
        <w:rPr>
          <w:rFonts w:ascii="Calibri" w:hAnsi="Calibri" w:cs="Arial"/>
          <w:sz w:val="22"/>
          <w:szCs w:val="22"/>
        </w:rPr>
        <w:t>– m</w:t>
      </w:r>
      <w:r w:rsidRPr="009C0486">
        <w:rPr>
          <w:rFonts w:ascii="Calibri" w:hAnsi="Calibri" w:cs="Arial"/>
          <w:sz w:val="22"/>
          <w:szCs w:val="22"/>
          <w:lang w:eastAsia="en-GB"/>
        </w:rPr>
        <w:t>anages a strong team work, promoting</w:t>
      </w:r>
      <w:r w:rsidRPr="009C0486">
        <w:rPr>
          <w:rFonts w:ascii="Calibri" w:hAnsi="Calibri" w:cs="Arial"/>
          <w:sz w:val="22"/>
          <w:szCs w:val="22"/>
        </w:rPr>
        <w:t xml:space="preserve"> shared values with the ability to get the best out of others, whilst participating fully.  </w:t>
      </w:r>
    </w:p>
    <w:p w:rsidR="002C685F" w:rsidRPr="009C0486" w:rsidRDefault="002C685F" w:rsidP="002C685F">
      <w:pPr>
        <w:rPr>
          <w:rFonts w:ascii="Calibri" w:hAnsi="Calibri" w:cs="Arial"/>
          <w:b/>
          <w:sz w:val="22"/>
          <w:szCs w:val="22"/>
          <w:lang w:eastAsia="en-GB"/>
        </w:rPr>
      </w:pPr>
    </w:p>
    <w:p w:rsidR="002C685F" w:rsidRPr="009C0486" w:rsidRDefault="002C685F" w:rsidP="002C685F">
      <w:pPr>
        <w:rPr>
          <w:rFonts w:ascii="Calibri" w:hAnsi="Calibri" w:cs="Arial"/>
          <w:b/>
          <w:sz w:val="22"/>
          <w:szCs w:val="22"/>
        </w:rPr>
      </w:pPr>
      <w:r w:rsidRPr="009C0486">
        <w:rPr>
          <w:rFonts w:ascii="Calibri" w:hAnsi="Calibri" w:cs="Arial"/>
          <w:b/>
          <w:sz w:val="22"/>
          <w:szCs w:val="22"/>
        </w:rPr>
        <w:t xml:space="preserve">Commercial Acumen </w:t>
      </w:r>
      <w:r w:rsidRPr="009C0486">
        <w:rPr>
          <w:rFonts w:ascii="Calibri" w:hAnsi="Calibri" w:cs="Arial"/>
          <w:sz w:val="22"/>
          <w:szCs w:val="22"/>
        </w:rPr>
        <w:t>– Identifies and creates value at every opportunity</w:t>
      </w:r>
    </w:p>
    <w:p w:rsidR="002C685F" w:rsidRPr="009C0486" w:rsidRDefault="002C685F" w:rsidP="002C685F">
      <w:pPr>
        <w:jc w:val="both"/>
        <w:rPr>
          <w:rFonts w:ascii="Calibri" w:hAnsi="Calibri" w:cs="Arial"/>
          <w:b/>
          <w:sz w:val="22"/>
          <w:szCs w:val="22"/>
        </w:rPr>
      </w:pPr>
    </w:p>
    <w:p w:rsidR="002C685F" w:rsidRPr="009C0486" w:rsidRDefault="002C685F" w:rsidP="002C685F">
      <w:pPr>
        <w:jc w:val="both"/>
        <w:rPr>
          <w:rFonts w:ascii="Calibri" w:hAnsi="Calibri" w:cs="Arial"/>
          <w:b/>
          <w:sz w:val="22"/>
          <w:szCs w:val="22"/>
        </w:rPr>
      </w:pPr>
      <w:r w:rsidRPr="009C0486">
        <w:rPr>
          <w:rFonts w:ascii="Calibri" w:hAnsi="Calibri" w:cs="Arial"/>
          <w:b/>
          <w:sz w:val="22"/>
          <w:szCs w:val="22"/>
        </w:rPr>
        <w:t xml:space="preserve">Integrity </w:t>
      </w:r>
      <w:r w:rsidRPr="009C0486">
        <w:rPr>
          <w:rFonts w:ascii="Calibri" w:hAnsi="Calibri" w:cs="Arial"/>
          <w:sz w:val="22"/>
          <w:szCs w:val="22"/>
        </w:rPr>
        <w:t xml:space="preserve">– says </w:t>
      </w:r>
      <w:r w:rsidRPr="009C0486">
        <w:rPr>
          <w:rFonts w:ascii="Calibri" w:hAnsi="Calibri" w:cs="Arial"/>
          <w:sz w:val="22"/>
          <w:szCs w:val="22"/>
          <w:lang w:eastAsia="en-GB"/>
        </w:rPr>
        <w:t>the right thing and does what is said.</w:t>
      </w:r>
    </w:p>
    <w:p w:rsidR="002C685F" w:rsidRPr="009C0486" w:rsidRDefault="002C685F" w:rsidP="002C685F">
      <w:pPr>
        <w:jc w:val="both"/>
        <w:rPr>
          <w:rFonts w:ascii="Calibri" w:hAnsi="Calibri" w:cs="Arial"/>
          <w:sz w:val="22"/>
          <w:szCs w:val="22"/>
        </w:rPr>
      </w:pPr>
    </w:p>
    <w:p w:rsidR="002C685F" w:rsidRPr="009C0486" w:rsidRDefault="002C685F" w:rsidP="002C685F">
      <w:pPr>
        <w:rPr>
          <w:rFonts w:ascii="Calibri" w:hAnsi="Calibri" w:cs="Arial"/>
          <w:sz w:val="22"/>
          <w:szCs w:val="22"/>
        </w:rPr>
      </w:pPr>
      <w:r w:rsidRPr="009C0486">
        <w:rPr>
          <w:rFonts w:ascii="Calibri" w:hAnsi="Calibri" w:cs="Arial"/>
          <w:b/>
          <w:sz w:val="22"/>
          <w:szCs w:val="22"/>
        </w:rPr>
        <w:t>Continuous Improvement</w:t>
      </w:r>
      <w:r w:rsidRPr="009C0486">
        <w:rPr>
          <w:rFonts w:ascii="Calibri" w:hAnsi="Calibri" w:cs="Arial"/>
          <w:sz w:val="22"/>
          <w:szCs w:val="22"/>
        </w:rPr>
        <w:t xml:space="preserve"> –challenges, </w:t>
      </w:r>
      <w:r w:rsidRPr="009C0486">
        <w:rPr>
          <w:rFonts w:ascii="Calibri" w:hAnsi="Calibri" w:cs="Arial"/>
          <w:sz w:val="22"/>
          <w:szCs w:val="22"/>
          <w:lang w:eastAsia="en-GB"/>
        </w:rPr>
        <w:t>evaluates and reviews existing practices with a view to improving on cost and other efficiencies; acting as a catalyst stimulating others to change.</w:t>
      </w:r>
    </w:p>
    <w:p w:rsidR="00DC2A29" w:rsidRDefault="00DC2A29" w:rsidP="00E52ABF">
      <w:pPr>
        <w:rPr>
          <w:rFonts w:ascii="Calibri" w:hAnsi="Calibri" w:cs="Arial"/>
          <w:color w:val="CC0000"/>
          <w:sz w:val="22"/>
          <w:szCs w:val="22"/>
        </w:rPr>
      </w:pPr>
    </w:p>
    <w:p w:rsidR="00FA40F4" w:rsidRDefault="00DC2A29" w:rsidP="00E52ABF">
      <w:pPr>
        <w:rPr>
          <w:rFonts w:ascii="Calibri" w:hAnsi="Calibri" w:cs="Arial"/>
          <w:color w:val="CC0000"/>
          <w:sz w:val="22"/>
          <w:szCs w:val="22"/>
        </w:rPr>
      </w:pPr>
      <w:r>
        <w:rPr>
          <w:rFonts w:ascii="Calibri" w:hAnsi="Calibri" w:cs="Arial"/>
          <w:color w:val="CC0000"/>
          <w:sz w:val="22"/>
          <w:szCs w:val="22"/>
        </w:rPr>
        <w:t>Key experience</w:t>
      </w:r>
    </w:p>
    <w:p w:rsidR="00A257A7" w:rsidRPr="009C0486" w:rsidRDefault="00A257A7" w:rsidP="00E52ABF">
      <w:pPr>
        <w:rPr>
          <w:rFonts w:ascii="Calibri" w:hAnsi="Calibri" w:cs="Arial"/>
          <w:color w:val="CC0000"/>
          <w:sz w:val="22"/>
          <w:szCs w:val="22"/>
        </w:rPr>
      </w:pPr>
    </w:p>
    <w:p w:rsidR="00DC2A29" w:rsidRPr="001B09AC" w:rsidRDefault="00DC2A29" w:rsidP="002C685F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1B09AC">
        <w:rPr>
          <w:rFonts w:ascii="Calibri" w:hAnsi="Calibri" w:cs="Arial"/>
          <w:sz w:val="22"/>
          <w:szCs w:val="22"/>
        </w:rPr>
        <w:t>Proven experience in land acquisition and planning.</w:t>
      </w:r>
    </w:p>
    <w:p w:rsidR="00DC2A29" w:rsidRPr="001B09AC" w:rsidRDefault="00A257A7" w:rsidP="00DC2A29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1B09AC">
        <w:rPr>
          <w:rFonts w:ascii="Calibri" w:hAnsi="Calibri" w:cs="Arial"/>
          <w:sz w:val="22"/>
          <w:szCs w:val="22"/>
        </w:rPr>
        <w:t>Effective</w:t>
      </w:r>
      <w:r w:rsidR="00DC2A29" w:rsidRPr="001B09AC">
        <w:rPr>
          <w:rFonts w:ascii="Calibri" w:hAnsi="Calibri" w:cs="Arial"/>
          <w:sz w:val="22"/>
          <w:szCs w:val="22"/>
        </w:rPr>
        <w:t xml:space="preserve"> understanding of a further operational function e.g. finance, sales etc.</w:t>
      </w:r>
    </w:p>
    <w:p w:rsidR="002C685F" w:rsidRPr="001B09AC" w:rsidRDefault="002C685F" w:rsidP="002C685F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1B09AC">
        <w:rPr>
          <w:rFonts w:ascii="Calibri" w:hAnsi="Calibri" w:cs="Arial"/>
          <w:sz w:val="22"/>
          <w:szCs w:val="22"/>
        </w:rPr>
        <w:t>Ability to establish a strategic plan for the business and to deliver it</w:t>
      </w:r>
    </w:p>
    <w:p w:rsidR="002C685F" w:rsidRPr="001B09AC" w:rsidRDefault="002C685F" w:rsidP="002C685F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1B09AC">
        <w:rPr>
          <w:rFonts w:ascii="Calibri" w:hAnsi="Calibri" w:cs="Arial"/>
          <w:sz w:val="22"/>
          <w:szCs w:val="22"/>
        </w:rPr>
        <w:t>Entrepreneurial skills, breadth of view beyond traditional approaches</w:t>
      </w:r>
    </w:p>
    <w:p w:rsidR="002C685F" w:rsidRPr="009C0486" w:rsidRDefault="002C685F" w:rsidP="002C685F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1B09AC">
        <w:rPr>
          <w:rFonts w:ascii="Calibri" w:hAnsi="Calibri" w:cs="Arial"/>
          <w:sz w:val="22"/>
          <w:szCs w:val="22"/>
        </w:rPr>
        <w:t>Strong networker, totally committed</w:t>
      </w:r>
      <w:r w:rsidRPr="009C0486">
        <w:rPr>
          <w:rFonts w:ascii="Calibri" w:hAnsi="Calibri" w:cs="Arial"/>
          <w:sz w:val="22"/>
          <w:szCs w:val="22"/>
        </w:rPr>
        <w:t xml:space="preserve"> to community involvement</w:t>
      </w:r>
    </w:p>
    <w:p w:rsidR="002C685F" w:rsidRPr="009C0486" w:rsidRDefault="002C685F" w:rsidP="002C685F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9C0486">
        <w:rPr>
          <w:rFonts w:ascii="Calibri" w:hAnsi="Calibri" w:cs="Arial"/>
          <w:sz w:val="22"/>
          <w:szCs w:val="22"/>
        </w:rPr>
        <w:t>Land acquisition skills</w:t>
      </w:r>
    </w:p>
    <w:p w:rsidR="002C685F" w:rsidRPr="009C0486" w:rsidRDefault="002C685F" w:rsidP="002C685F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9C0486">
        <w:rPr>
          <w:rFonts w:ascii="Calibri" w:hAnsi="Calibri" w:cs="Arial"/>
          <w:sz w:val="22"/>
          <w:szCs w:val="22"/>
        </w:rPr>
        <w:t>High standard of financial literacy &amp; analytical skills</w:t>
      </w:r>
    </w:p>
    <w:p w:rsidR="002C685F" w:rsidRPr="009C0486" w:rsidRDefault="002C685F" w:rsidP="002C685F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9C0486">
        <w:rPr>
          <w:rFonts w:ascii="Calibri" w:hAnsi="Calibri" w:cs="Arial"/>
          <w:sz w:val="22"/>
          <w:szCs w:val="22"/>
        </w:rPr>
        <w:t>Considerable drive and energy</w:t>
      </w:r>
    </w:p>
    <w:p w:rsidR="00DC2A29" w:rsidRPr="009C0486" w:rsidRDefault="00DC2A29" w:rsidP="00DC2A29">
      <w:pPr>
        <w:rPr>
          <w:rFonts w:ascii="Calibri" w:hAnsi="Calibri" w:cs="Arial"/>
          <w:color w:val="CC0000"/>
          <w:sz w:val="22"/>
          <w:szCs w:val="22"/>
        </w:rPr>
      </w:pPr>
    </w:p>
    <w:p w:rsidR="00835C71" w:rsidRDefault="00835C71" w:rsidP="00DC2A29">
      <w:pPr>
        <w:rPr>
          <w:rFonts w:ascii="Calibri" w:hAnsi="Calibri" w:cs="Arial"/>
          <w:color w:val="CC0000"/>
          <w:sz w:val="22"/>
          <w:szCs w:val="22"/>
        </w:rPr>
      </w:pPr>
    </w:p>
    <w:p w:rsidR="00835C71" w:rsidRDefault="00835C71" w:rsidP="00DC2A29">
      <w:pPr>
        <w:rPr>
          <w:rFonts w:ascii="Calibri" w:hAnsi="Calibri" w:cs="Arial"/>
          <w:color w:val="CC0000"/>
          <w:sz w:val="22"/>
          <w:szCs w:val="22"/>
        </w:rPr>
      </w:pPr>
    </w:p>
    <w:p w:rsidR="00835C71" w:rsidRDefault="00835C71" w:rsidP="00DC2A29">
      <w:pPr>
        <w:rPr>
          <w:rFonts w:ascii="Calibri" w:hAnsi="Calibri" w:cs="Arial"/>
          <w:color w:val="CC0000"/>
          <w:sz w:val="22"/>
          <w:szCs w:val="22"/>
        </w:rPr>
      </w:pPr>
    </w:p>
    <w:p w:rsidR="00835C71" w:rsidRDefault="00835C71" w:rsidP="00DC2A29">
      <w:pPr>
        <w:rPr>
          <w:rFonts w:ascii="Calibri" w:hAnsi="Calibri" w:cs="Arial"/>
          <w:color w:val="CC0000"/>
          <w:sz w:val="22"/>
          <w:szCs w:val="22"/>
        </w:rPr>
      </w:pPr>
    </w:p>
    <w:p w:rsidR="00835C71" w:rsidRDefault="00835C71" w:rsidP="00DC2A29">
      <w:pPr>
        <w:rPr>
          <w:rFonts w:ascii="Calibri" w:hAnsi="Calibri" w:cs="Arial"/>
          <w:color w:val="CC0000"/>
          <w:sz w:val="22"/>
          <w:szCs w:val="22"/>
        </w:rPr>
      </w:pPr>
    </w:p>
    <w:p w:rsidR="00835C71" w:rsidRDefault="00835C71" w:rsidP="00DC2A29">
      <w:pPr>
        <w:rPr>
          <w:rFonts w:ascii="Calibri" w:hAnsi="Calibri" w:cs="Arial"/>
          <w:color w:val="CC0000"/>
          <w:sz w:val="22"/>
          <w:szCs w:val="22"/>
        </w:rPr>
      </w:pPr>
    </w:p>
    <w:p w:rsidR="00CE7996" w:rsidRDefault="00CE7996" w:rsidP="00DC2A29">
      <w:pPr>
        <w:rPr>
          <w:rFonts w:ascii="Calibri" w:hAnsi="Calibri" w:cs="Arial"/>
          <w:color w:val="CC0000"/>
          <w:sz w:val="22"/>
          <w:szCs w:val="22"/>
        </w:rPr>
      </w:pPr>
    </w:p>
    <w:p w:rsidR="00835C71" w:rsidRDefault="00835C71" w:rsidP="00DC2A29">
      <w:pPr>
        <w:rPr>
          <w:rFonts w:ascii="Calibri" w:hAnsi="Calibri" w:cs="Arial"/>
          <w:color w:val="CC0000"/>
          <w:sz w:val="22"/>
          <w:szCs w:val="22"/>
        </w:rPr>
      </w:pPr>
    </w:p>
    <w:p w:rsidR="00DC2A29" w:rsidRPr="009C0486" w:rsidRDefault="00DC2A29" w:rsidP="00DC2A29">
      <w:pPr>
        <w:rPr>
          <w:rFonts w:ascii="Calibri" w:hAnsi="Calibri" w:cs="Arial"/>
          <w:color w:val="CC0000"/>
          <w:sz w:val="22"/>
          <w:szCs w:val="22"/>
        </w:rPr>
      </w:pPr>
      <w:r w:rsidRPr="009C0486">
        <w:rPr>
          <w:rFonts w:ascii="Calibri" w:hAnsi="Calibri" w:cs="Arial"/>
          <w:color w:val="CC0000"/>
          <w:sz w:val="22"/>
          <w:szCs w:val="22"/>
        </w:rPr>
        <w:lastRenderedPageBreak/>
        <w:t xml:space="preserve">Primary network: who you will work with </w:t>
      </w:r>
    </w:p>
    <w:p w:rsidR="00DC2A29" w:rsidRPr="009C0486" w:rsidRDefault="00DC2A29" w:rsidP="00DC2A29">
      <w:pPr>
        <w:rPr>
          <w:rFonts w:ascii="Calibri" w:hAnsi="Calibri" w:cs="Arial"/>
          <w:color w:val="CC0000"/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08"/>
      </w:tblGrid>
      <w:tr w:rsidR="00DC2A29" w:rsidRPr="009C0486" w:rsidTr="005A2062">
        <w:tc>
          <w:tcPr>
            <w:tcW w:w="144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CC0000"/>
          </w:tcPr>
          <w:p w:rsidR="00DC2A29" w:rsidRPr="009C0486" w:rsidRDefault="00DC2A29" w:rsidP="005A2062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9C0486">
              <w:rPr>
                <w:rFonts w:ascii="Calibri" w:hAnsi="Calibri" w:cs="Arial"/>
                <w:color w:val="FFFFFF"/>
                <w:sz w:val="22"/>
                <w:szCs w:val="22"/>
              </w:rPr>
              <w:t>Internal:</w:t>
            </w:r>
          </w:p>
        </w:tc>
        <w:tc>
          <w:tcPr>
            <w:tcW w:w="7308" w:type="dxa"/>
            <w:tcBorders>
              <w:top w:val="nil"/>
              <w:left w:val="single" w:sz="4" w:space="0" w:color="FFFFFF"/>
              <w:bottom w:val="single" w:sz="4" w:space="0" w:color="CC0000"/>
            </w:tcBorders>
            <w:shd w:val="clear" w:color="auto" w:fill="auto"/>
          </w:tcPr>
          <w:p w:rsidR="00DC2A29" w:rsidRPr="001B09AC" w:rsidRDefault="00DC2A29" w:rsidP="005A2062">
            <w:pPr>
              <w:pStyle w:val="ListParagraph"/>
              <w:autoSpaceDE w:val="0"/>
              <w:autoSpaceDN w:val="0"/>
              <w:ind w:left="0"/>
              <w:rPr>
                <w:rFonts w:cs="Arial"/>
              </w:rPr>
            </w:pPr>
            <w:r w:rsidRPr="001B09AC">
              <w:rPr>
                <w:rFonts w:cs="Arial"/>
              </w:rPr>
              <w:t>Chief Executive</w:t>
            </w:r>
            <w:r w:rsidRPr="001B09AC">
              <w:rPr>
                <w:rFonts w:cs="Arial"/>
              </w:rPr>
              <w:tab/>
            </w:r>
            <w:r w:rsidRPr="001B09AC">
              <w:rPr>
                <w:rFonts w:cs="Arial"/>
              </w:rPr>
              <w:tab/>
            </w:r>
            <w:r w:rsidRPr="001B09AC">
              <w:rPr>
                <w:rFonts w:cs="Arial"/>
              </w:rPr>
              <w:tab/>
            </w:r>
            <w:r w:rsidRPr="001B09AC">
              <w:rPr>
                <w:rFonts w:cs="Arial"/>
              </w:rPr>
              <w:tab/>
              <w:t>Divisional Chairman</w:t>
            </w:r>
          </w:p>
          <w:p w:rsidR="00DC2A29" w:rsidRPr="001B09AC" w:rsidRDefault="00DC2A29" w:rsidP="005A2062">
            <w:pPr>
              <w:pStyle w:val="ListParagraph"/>
              <w:autoSpaceDE w:val="0"/>
              <w:autoSpaceDN w:val="0"/>
              <w:ind w:left="0"/>
              <w:rPr>
                <w:rFonts w:cs="Arial"/>
              </w:rPr>
            </w:pPr>
            <w:r w:rsidRPr="001B09AC">
              <w:rPr>
                <w:rFonts w:cs="Arial"/>
              </w:rPr>
              <w:t xml:space="preserve">DMD </w:t>
            </w:r>
            <w:r w:rsidRPr="001B09AC">
              <w:rPr>
                <w:rFonts w:cs="Arial"/>
              </w:rPr>
              <w:tab/>
            </w:r>
            <w:r w:rsidRPr="001B09AC">
              <w:rPr>
                <w:rFonts w:cs="Arial"/>
              </w:rPr>
              <w:tab/>
            </w:r>
            <w:r w:rsidRPr="001B09AC">
              <w:rPr>
                <w:rFonts w:cs="Arial"/>
              </w:rPr>
              <w:tab/>
            </w:r>
            <w:r w:rsidRPr="001B09AC">
              <w:rPr>
                <w:rFonts w:cs="Arial"/>
              </w:rPr>
              <w:tab/>
            </w:r>
            <w:r w:rsidRPr="001B09AC">
              <w:rPr>
                <w:rFonts w:cs="Arial"/>
              </w:rPr>
              <w:tab/>
              <w:t>Director of Health and Safety</w:t>
            </w:r>
          </w:p>
          <w:p w:rsidR="00DC2A29" w:rsidRPr="001B09AC" w:rsidRDefault="00DC2A29" w:rsidP="005A2062">
            <w:pPr>
              <w:pStyle w:val="ListParagraph"/>
              <w:autoSpaceDE w:val="0"/>
              <w:autoSpaceDN w:val="0"/>
              <w:ind w:left="0"/>
              <w:rPr>
                <w:rFonts w:cs="Arial"/>
              </w:rPr>
            </w:pPr>
            <w:r w:rsidRPr="001B09AC">
              <w:rPr>
                <w:rFonts w:cs="Arial"/>
              </w:rPr>
              <w:t>Strategic Land</w:t>
            </w:r>
            <w:r w:rsidRPr="001B09AC">
              <w:rPr>
                <w:rFonts w:cs="Arial"/>
              </w:rPr>
              <w:tab/>
            </w:r>
            <w:r w:rsidRPr="001B09AC">
              <w:rPr>
                <w:rFonts w:cs="Arial"/>
              </w:rPr>
              <w:tab/>
            </w:r>
            <w:r w:rsidRPr="001B09AC">
              <w:rPr>
                <w:rFonts w:cs="Arial"/>
              </w:rPr>
              <w:tab/>
            </w:r>
            <w:r w:rsidRPr="001B09AC">
              <w:rPr>
                <w:rFonts w:cs="Arial"/>
              </w:rPr>
              <w:tab/>
              <w:t>Head of Planning</w:t>
            </w:r>
          </w:p>
          <w:p w:rsidR="00DC2A29" w:rsidRPr="001B09AC" w:rsidRDefault="00DC2A29" w:rsidP="005A2062">
            <w:pPr>
              <w:pStyle w:val="ListParagraph"/>
              <w:autoSpaceDE w:val="0"/>
              <w:autoSpaceDN w:val="0"/>
              <w:ind w:left="0"/>
              <w:rPr>
                <w:rFonts w:cs="Arial"/>
              </w:rPr>
            </w:pPr>
            <w:r w:rsidRPr="001B09AC">
              <w:rPr>
                <w:rFonts w:cs="Arial"/>
              </w:rPr>
              <w:t>Other MDs</w:t>
            </w:r>
            <w:r w:rsidRPr="001B09AC">
              <w:rPr>
                <w:rFonts w:cs="Arial"/>
              </w:rPr>
              <w:tab/>
            </w:r>
            <w:r w:rsidRPr="001B09AC">
              <w:rPr>
                <w:rFonts w:cs="Arial"/>
              </w:rPr>
              <w:tab/>
            </w:r>
            <w:r w:rsidRPr="001B09AC">
              <w:rPr>
                <w:rFonts w:cs="Arial"/>
              </w:rPr>
              <w:tab/>
            </w:r>
            <w:r w:rsidRPr="001B09AC">
              <w:rPr>
                <w:rFonts w:cs="Arial"/>
              </w:rPr>
              <w:tab/>
              <w:t>Customer Director</w:t>
            </w:r>
          </w:p>
          <w:p w:rsidR="00DC2A29" w:rsidRPr="009C0486" w:rsidRDefault="00DC2A29" w:rsidP="00CE7996">
            <w:pPr>
              <w:pStyle w:val="ListParagraph"/>
              <w:autoSpaceDE w:val="0"/>
              <w:autoSpaceDN w:val="0"/>
              <w:ind w:left="0"/>
              <w:rPr>
                <w:rFonts w:cs="Arial"/>
                <w:color w:val="333333"/>
              </w:rPr>
            </w:pPr>
            <w:r w:rsidRPr="001B09AC">
              <w:rPr>
                <w:rFonts w:cs="Arial"/>
              </w:rPr>
              <w:t>BU Team</w:t>
            </w:r>
            <w:r w:rsidRPr="001B09AC">
              <w:rPr>
                <w:rFonts w:cs="Arial"/>
              </w:rPr>
              <w:tab/>
            </w:r>
            <w:r w:rsidRPr="001B09AC">
              <w:rPr>
                <w:rFonts w:cs="Arial"/>
              </w:rPr>
              <w:tab/>
            </w:r>
            <w:r w:rsidRPr="001B09AC">
              <w:rPr>
                <w:rFonts w:cs="Arial"/>
              </w:rPr>
              <w:tab/>
            </w:r>
            <w:r w:rsidRPr="001B09AC">
              <w:rPr>
                <w:rFonts w:cs="Arial"/>
              </w:rPr>
              <w:tab/>
              <w:t>Legal Team</w:t>
            </w:r>
            <w:bookmarkStart w:id="0" w:name="_GoBack"/>
            <w:bookmarkEnd w:id="0"/>
          </w:p>
        </w:tc>
      </w:tr>
      <w:tr w:rsidR="00DC2A29" w:rsidRPr="009C0486" w:rsidTr="005A2062">
        <w:tc>
          <w:tcPr>
            <w:tcW w:w="14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0000"/>
          </w:tcPr>
          <w:p w:rsidR="00DC2A29" w:rsidRPr="009C0486" w:rsidRDefault="00DC2A29" w:rsidP="005A2062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9C0486">
              <w:rPr>
                <w:rFonts w:ascii="Calibri" w:hAnsi="Calibri" w:cs="Arial"/>
                <w:color w:val="FFFFFF"/>
                <w:sz w:val="22"/>
                <w:szCs w:val="22"/>
              </w:rPr>
              <w:t>External:</w:t>
            </w:r>
          </w:p>
        </w:tc>
        <w:tc>
          <w:tcPr>
            <w:tcW w:w="7308" w:type="dxa"/>
            <w:tcBorders>
              <w:top w:val="single" w:sz="4" w:space="0" w:color="CC0000"/>
              <w:left w:val="single" w:sz="4" w:space="0" w:color="FFFFFF"/>
              <w:bottom w:val="single" w:sz="4" w:space="0" w:color="CC0000"/>
            </w:tcBorders>
            <w:shd w:val="clear" w:color="auto" w:fill="auto"/>
          </w:tcPr>
          <w:p w:rsidR="00DC2A29" w:rsidRPr="001B09AC" w:rsidRDefault="00DC2A29" w:rsidP="005A2062">
            <w:pPr>
              <w:pStyle w:val="ListParagraph"/>
              <w:autoSpaceDE w:val="0"/>
              <w:autoSpaceDN w:val="0"/>
              <w:ind w:left="0"/>
              <w:rPr>
                <w:rFonts w:cs="Arial"/>
              </w:rPr>
            </w:pPr>
            <w:r w:rsidRPr="001B09AC">
              <w:rPr>
                <w:rFonts w:cs="Arial"/>
              </w:rPr>
              <w:t xml:space="preserve">National and local Government representatives </w:t>
            </w:r>
          </w:p>
          <w:p w:rsidR="00DC2A29" w:rsidRPr="001B09AC" w:rsidRDefault="00DC2A29" w:rsidP="005A2062">
            <w:pPr>
              <w:pStyle w:val="ListParagraph"/>
              <w:autoSpaceDE w:val="0"/>
              <w:autoSpaceDN w:val="0"/>
              <w:ind w:left="0"/>
              <w:rPr>
                <w:rFonts w:cs="Arial"/>
              </w:rPr>
            </w:pPr>
            <w:r w:rsidRPr="001B09AC">
              <w:rPr>
                <w:rFonts w:cs="Arial"/>
              </w:rPr>
              <w:t>Land Agents</w:t>
            </w:r>
          </w:p>
          <w:p w:rsidR="00DC2A29" w:rsidRPr="001B09AC" w:rsidRDefault="00DC2A29" w:rsidP="005A2062">
            <w:pPr>
              <w:pStyle w:val="ListParagraph"/>
              <w:autoSpaceDE w:val="0"/>
              <w:autoSpaceDN w:val="0"/>
              <w:ind w:left="0"/>
              <w:rPr>
                <w:rFonts w:cs="Arial"/>
              </w:rPr>
            </w:pPr>
            <w:r w:rsidRPr="001B09AC">
              <w:rPr>
                <w:rFonts w:cs="Arial"/>
              </w:rPr>
              <w:t>Industry Body representatives</w:t>
            </w:r>
          </w:p>
          <w:p w:rsidR="00DC2A29" w:rsidRPr="00326899" w:rsidRDefault="00DC2A29" w:rsidP="005A2062">
            <w:pPr>
              <w:pStyle w:val="ListParagraph"/>
              <w:autoSpaceDE w:val="0"/>
              <w:autoSpaceDN w:val="0"/>
              <w:ind w:left="0"/>
              <w:rPr>
                <w:rFonts w:cs="Arial"/>
                <w:color w:val="333333"/>
              </w:rPr>
            </w:pPr>
            <w:r w:rsidRPr="001B09AC">
              <w:rPr>
                <w:rFonts w:cs="Arial"/>
              </w:rPr>
              <w:t>Local community members</w:t>
            </w:r>
          </w:p>
        </w:tc>
      </w:tr>
    </w:tbl>
    <w:p w:rsidR="00DC2A29" w:rsidRPr="009C0486" w:rsidRDefault="00DC2A29" w:rsidP="00DC2A29">
      <w:pPr>
        <w:rPr>
          <w:rFonts w:ascii="Calibri" w:hAnsi="Calibri" w:cs="Arial"/>
          <w:sz w:val="22"/>
          <w:szCs w:val="22"/>
        </w:rPr>
      </w:pPr>
    </w:p>
    <w:p w:rsidR="00835C71" w:rsidRDefault="00835C71" w:rsidP="002C685F">
      <w:pPr>
        <w:rPr>
          <w:rFonts w:asciiTheme="minorHAnsi" w:hAnsiTheme="minorHAnsi"/>
          <w:sz w:val="22"/>
          <w:szCs w:val="22"/>
        </w:rPr>
      </w:pPr>
      <w:r w:rsidRPr="00835C71">
        <w:rPr>
          <w:rFonts w:asciiTheme="minorHAnsi" w:hAnsiTheme="minorHAnsi"/>
          <w:sz w:val="22"/>
          <w:szCs w:val="22"/>
        </w:rPr>
        <w:t xml:space="preserve">If you would like to be considered for this role please send your CV to Anne Billson-Ross, </w:t>
      </w:r>
    </w:p>
    <w:p w:rsidR="00DC2A29" w:rsidRPr="00835C71" w:rsidRDefault="00835C71" w:rsidP="002C685F">
      <w:pPr>
        <w:rPr>
          <w:rFonts w:asciiTheme="minorHAnsi" w:hAnsiTheme="minorHAnsi" w:cs="Arial"/>
          <w:sz w:val="22"/>
          <w:szCs w:val="22"/>
        </w:rPr>
      </w:pPr>
      <w:r w:rsidRPr="00835C71">
        <w:rPr>
          <w:rFonts w:asciiTheme="minorHAnsi" w:hAnsiTheme="minorHAnsi"/>
          <w:sz w:val="22"/>
          <w:szCs w:val="22"/>
        </w:rPr>
        <w:t xml:space="preserve">Group HR Director </w:t>
      </w:r>
      <w:hyperlink r:id="rId9" w:history="1">
        <w:r w:rsidRPr="00835C71">
          <w:rPr>
            <w:rStyle w:val="Hyperlink"/>
            <w:rFonts w:asciiTheme="minorHAnsi" w:hAnsiTheme="minorHAnsi"/>
            <w:sz w:val="22"/>
            <w:szCs w:val="22"/>
          </w:rPr>
          <w:t>Anne.BillsonRoss@taylorwimpey.com</w:t>
        </w:r>
      </w:hyperlink>
      <w:r w:rsidRPr="00835C71">
        <w:rPr>
          <w:rFonts w:asciiTheme="minorHAnsi" w:hAnsiTheme="minorHAnsi"/>
          <w:sz w:val="22"/>
          <w:szCs w:val="22"/>
        </w:rPr>
        <w:t xml:space="preserve"> by Friday 29 May 2015.</w:t>
      </w:r>
    </w:p>
    <w:sectPr w:rsidR="00DC2A29" w:rsidRPr="00835C71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1A" w:rsidRDefault="00A3041A">
      <w:r>
        <w:separator/>
      </w:r>
    </w:p>
  </w:endnote>
  <w:endnote w:type="continuationSeparator" w:id="0">
    <w:p w:rsidR="00A3041A" w:rsidRDefault="00A3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1A" w:rsidRDefault="00A3041A">
      <w:r>
        <w:separator/>
      </w:r>
    </w:p>
  </w:footnote>
  <w:footnote w:type="continuationSeparator" w:id="0">
    <w:p w:rsidR="00A3041A" w:rsidRDefault="00A30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4F2272" w:rsidRDefault="00CE7996" w:rsidP="00B9191F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  <w:r>
      <w:rPr>
        <w:b/>
        <w:bCs/>
        <w:noProof/>
        <w:color w:val="BE2A3C"/>
        <w:lang w:eastAsia="en-GB"/>
      </w:rPr>
      <w:drawing>
        <wp:inline distT="0" distB="0" distL="0" distR="0">
          <wp:extent cx="1027430" cy="612775"/>
          <wp:effectExtent l="0" t="0" r="1270" b="0"/>
          <wp:docPr id="1" name="ctl00_NavigationHeaderControl_headerLogo" descr="Taylor Wimpey UK house buil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NavigationHeaderControl_headerLogo" descr="Taylor Wimpey UK house buil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ab/>
    </w:r>
    <w:r w:rsidR="004B5135">
      <w:rPr>
        <w:rFonts w:ascii="Arial" w:hAnsi="Arial" w:cs="Arial"/>
        <w:b/>
        <w:bCs/>
        <w:color w:val="CC0000"/>
        <w:sz w:val="34"/>
        <w:szCs w:val="34"/>
      </w:rPr>
      <w:tab/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>Job Description</w:t>
    </w: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5F"/>
    <w:multiLevelType w:val="hybridMultilevel"/>
    <w:tmpl w:val="02F23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E40BA"/>
    <w:multiLevelType w:val="hybridMultilevel"/>
    <w:tmpl w:val="C0864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072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14E44"/>
    <w:multiLevelType w:val="hybridMultilevel"/>
    <w:tmpl w:val="A8DEB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791DDC"/>
    <w:multiLevelType w:val="hybridMultilevel"/>
    <w:tmpl w:val="647C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C764C1"/>
    <w:multiLevelType w:val="hybridMultilevel"/>
    <w:tmpl w:val="31EA6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A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B664A06"/>
    <w:multiLevelType w:val="hybridMultilevel"/>
    <w:tmpl w:val="2E887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C283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"/>
  </w:num>
  <w:num w:numId="5">
    <w:abstractNumId w:val="4"/>
  </w:num>
  <w:num w:numId="6">
    <w:abstractNumId w:val="17"/>
  </w:num>
  <w:num w:numId="7">
    <w:abstractNumId w:val="12"/>
  </w:num>
  <w:num w:numId="8">
    <w:abstractNumId w:val="6"/>
  </w:num>
  <w:num w:numId="9">
    <w:abstractNumId w:val="16"/>
  </w:num>
  <w:num w:numId="10">
    <w:abstractNumId w:val="18"/>
  </w:num>
  <w:num w:numId="11">
    <w:abstractNumId w:val="3"/>
  </w:num>
  <w:num w:numId="12">
    <w:abstractNumId w:val="8"/>
  </w:num>
  <w:num w:numId="13">
    <w:abstractNumId w:val="0"/>
  </w:num>
  <w:num w:numId="14">
    <w:abstractNumId w:val="11"/>
  </w:num>
  <w:num w:numId="15">
    <w:abstractNumId w:val="2"/>
  </w:num>
  <w:num w:numId="16">
    <w:abstractNumId w:val="13"/>
  </w:num>
  <w:num w:numId="17">
    <w:abstractNumId w:val="10"/>
  </w:num>
  <w:num w:numId="18">
    <w:abstractNumId w:val="19"/>
  </w:num>
  <w:num w:numId="19">
    <w:abstractNumId w:val="7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7868"/>
    <w:rsid w:val="000427EC"/>
    <w:rsid w:val="000B541E"/>
    <w:rsid w:val="000D6F59"/>
    <w:rsid w:val="000F18EC"/>
    <w:rsid w:val="0010370B"/>
    <w:rsid w:val="001102F3"/>
    <w:rsid w:val="00140AA0"/>
    <w:rsid w:val="001601AA"/>
    <w:rsid w:val="001635C1"/>
    <w:rsid w:val="00187B0A"/>
    <w:rsid w:val="001B09AC"/>
    <w:rsid w:val="001D147B"/>
    <w:rsid w:val="00206E3D"/>
    <w:rsid w:val="002443F1"/>
    <w:rsid w:val="00254C2A"/>
    <w:rsid w:val="002672CC"/>
    <w:rsid w:val="002C685F"/>
    <w:rsid w:val="002C733E"/>
    <w:rsid w:val="002F1E5D"/>
    <w:rsid w:val="00326899"/>
    <w:rsid w:val="00331A17"/>
    <w:rsid w:val="00342D8E"/>
    <w:rsid w:val="00375230"/>
    <w:rsid w:val="003A2878"/>
    <w:rsid w:val="003B136E"/>
    <w:rsid w:val="003C1504"/>
    <w:rsid w:val="003F06FD"/>
    <w:rsid w:val="003F444E"/>
    <w:rsid w:val="004B5135"/>
    <w:rsid w:val="004F2272"/>
    <w:rsid w:val="004F3F97"/>
    <w:rsid w:val="00544400"/>
    <w:rsid w:val="0057345B"/>
    <w:rsid w:val="005A2062"/>
    <w:rsid w:val="005C002A"/>
    <w:rsid w:val="005C7A61"/>
    <w:rsid w:val="00605ACB"/>
    <w:rsid w:val="006279E0"/>
    <w:rsid w:val="00687B42"/>
    <w:rsid w:val="00696FE1"/>
    <w:rsid w:val="006B304F"/>
    <w:rsid w:val="006F0181"/>
    <w:rsid w:val="0071195A"/>
    <w:rsid w:val="00720BC8"/>
    <w:rsid w:val="00762997"/>
    <w:rsid w:val="00796571"/>
    <w:rsid w:val="00835C71"/>
    <w:rsid w:val="00837576"/>
    <w:rsid w:val="008539F5"/>
    <w:rsid w:val="00894231"/>
    <w:rsid w:val="008D0CA9"/>
    <w:rsid w:val="008D0FE2"/>
    <w:rsid w:val="008F0803"/>
    <w:rsid w:val="008F0D53"/>
    <w:rsid w:val="009878B1"/>
    <w:rsid w:val="009A277A"/>
    <w:rsid w:val="009A73EB"/>
    <w:rsid w:val="009C0486"/>
    <w:rsid w:val="009D0581"/>
    <w:rsid w:val="009D0B11"/>
    <w:rsid w:val="00A14BB4"/>
    <w:rsid w:val="00A257A7"/>
    <w:rsid w:val="00A3041A"/>
    <w:rsid w:val="00A31A16"/>
    <w:rsid w:val="00A3311A"/>
    <w:rsid w:val="00A40732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9191F"/>
    <w:rsid w:val="00B93651"/>
    <w:rsid w:val="00BA78DA"/>
    <w:rsid w:val="00BB3293"/>
    <w:rsid w:val="00C11094"/>
    <w:rsid w:val="00C5225D"/>
    <w:rsid w:val="00C56290"/>
    <w:rsid w:val="00C73440"/>
    <w:rsid w:val="00C8304C"/>
    <w:rsid w:val="00CC5874"/>
    <w:rsid w:val="00CD6C56"/>
    <w:rsid w:val="00CE7996"/>
    <w:rsid w:val="00D053A2"/>
    <w:rsid w:val="00D2067F"/>
    <w:rsid w:val="00D937EF"/>
    <w:rsid w:val="00DA0EFA"/>
    <w:rsid w:val="00DC2A29"/>
    <w:rsid w:val="00DC515B"/>
    <w:rsid w:val="00DD0ACC"/>
    <w:rsid w:val="00DD6731"/>
    <w:rsid w:val="00DF339D"/>
    <w:rsid w:val="00E25C00"/>
    <w:rsid w:val="00E52ABF"/>
    <w:rsid w:val="00E5711A"/>
    <w:rsid w:val="00E76284"/>
    <w:rsid w:val="00EB5417"/>
    <w:rsid w:val="00EF3577"/>
    <w:rsid w:val="00F0246E"/>
    <w:rsid w:val="00F11386"/>
    <w:rsid w:val="00F117C1"/>
    <w:rsid w:val="00F65759"/>
    <w:rsid w:val="00F81237"/>
    <w:rsid w:val="00F87A22"/>
    <w:rsid w:val="00F91958"/>
    <w:rsid w:val="00F9393E"/>
    <w:rsid w:val="00FA40F4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87B0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87B0A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87B0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87B0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e.BillsonRoss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9A14-01F4-4630-B19B-9971E3F5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647</Words>
  <Characters>3692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Ashton Tame - TW Head Office</cp:lastModifiedBy>
  <cp:revision>2</cp:revision>
  <cp:lastPrinted>2014-11-13T12:25:00Z</cp:lastPrinted>
  <dcterms:created xsi:type="dcterms:W3CDTF">2015-05-21T07:25:00Z</dcterms:created>
  <dcterms:modified xsi:type="dcterms:W3CDTF">2015-05-21T07:25:00Z</dcterms:modified>
</cp:coreProperties>
</file>