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237"/>
        <w:gridCol w:w="992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0C3365" w:rsidRPr="00023B6A" w:rsidRDefault="000C3365">
            <w:pPr>
              <w:pStyle w:val="Heading7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Job Title:</w:t>
            </w:r>
          </w:p>
        </w:tc>
        <w:tc>
          <w:tcPr>
            <w:tcW w:w="7229" w:type="dxa"/>
            <w:gridSpan w:val="2"/>
          </w:tcPr>
          <w:p w:rsidR="000C3365" w:rsidRPr="00023B6A" w:rsidRDefault="000C3365">
            <w:pPr>
              <w:pStyle w:val="Heading7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PRODUCTION MANAGER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0C3365" w:rsidRPr="00023B6A" w:rsidRDefault="000C3365">
            <w:pPr>
              <w:rPr>
                <w:rFonts w:ascii="Arial" w:hAnsi="Arial" w:cs="Arial"/>
                <w:b/>
                <w:sz w:val="20"/>
              </w:rPr>
            </w:pPr>
            <w:r w:rsidRPr="00023B6A">
              <w:rPr>
                <w:rFonts w:ascii="Arial" w:hAnsi="Arial" w:cs="Arial"/>
                <w:b/>
                <w:sz w:val="20"/>
              </w:rPr>
              <w:t>Business:</w:t>
            </w:r>
          </w:p>
        </w:tc>
        <w:tc>
          <w:tcPr>
            <w:tcW w:w="7229" w:type="dxa"/>
            <w:gridSpan w:val="2"/>
          </w:tcPr>
          <w:p w:rsidR="000C3365" w:rsidRPr="00023B6A" w:rsidRDefault="002E4300">
            <w:pPr>
              <w:rPr>
                <w:rFonts w:ascii="Arial" w:hAnsi="Arial" w:cs="Arial"/>
                <w:b/>
                <w:sz w:val="20"/>
              </w:rPr>
            </w:pPr>
            <w:r w:rsidRPr="00023B6A">
              <w:rPr>
                <w:rFonts w:ascii="Arial" w:hAnsi="Arial" w:cs="Arial"/>
                <w:b/>
                <w:sz w:val="20"/>
              </w:rPr>
              <w:t xml:space="preserve">Taylor Wimpey </w:t>
            </w:r>
            <w:r w:rsidR="00023B6A" w:rsidRPr="00023B6A">
              <w:rPr>
                <w:rFonts w:ascii="Arial" w:hAnsi="Arial" w:cs="Arial"/>
                <w:b/>
                <w:sz w:val="20"/>
              </w:rPr>
              <w:t>South Midlands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0C3365" w:rsidRPr="00023B6A" w:rsidRDefault="000C3365">
            <w:pPr>
              <w:rPr>
                <w:rFonts w:ascii="Arial" w:hAnsi="Arial" w:cs="Arial"/>
                <w:b/>
                <w:sz w:val="20"/>
              </w:rPr>
            </w:pPr>
            <w:r w:rsidRPr="00023B6A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7229" w:type="dxa"/>
            <w:gridSpan w:val="2"/>
          </w:tcPr>
          <w:p w:rsidR="000C3365" w:rsidRPr="00023B6A" w:rsidRDefault="00023B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Buckinghamshire, Northamptonshire, Bedfordshire </w:t>
            </w:r>
            <w:r w:rsidR="002E4300" w:rsidRPr="00023B6A">
              <w:rPr>
                <w:rFonts w:ascii="Arial" w:hAnsi="Arial" w:cs="Arial"/>
                <w:b/>
                <w:sz w:val="20"/>
              </w:rPr>
              <w:t>with travel within the region to sites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0C3365" w:rsidRPr="00023B6A" w:rsidRDefault="000C3365">
            <w:pPr>
              <w:rPr>
                <w:rFonts w:ascii="Arial" w:hAnsi="Arial" w:cs="Arial"/>
                <w:b/>
                <w:sz w:val="20"/>
              </w:rPr>
            </w:pPr>
            <w:r w:rsidRPr="00023B6A">
              <w:rPr>
                <w:rFonts w:ascii="Arial" w:hAnsi="Arial" w:cs="Arial"/>
                <w:b/>
                <w:sz w:val="20"/>
              </w:rPr>
              <w:t>Reports to:</w:t>
            </w:r>
          </w:p>
        </w:tc>
        <w:tc>
          <w:tcPr>
            <w:tcW w:w="7229" w:type="dxa"/>
            <w:gridSpan w:val="2"/>
          </w:tcPr>
          <w:p w:rsidR="000C3365" w:rsidRPr="00023B6A" w:rsidRDefault="00023B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Production Director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0C3365" w:rsidRPr="00023B6A" w:rsidRDefault="000C3365">
            <w:pPr>
              <w:rPr>
                <w:rFonts w:ascii="Arial" w:hAnsi="Arial" w:cs="Arial"/>
                <w:b/>
                <w:sz w:val="20"/>
              </w:rPr>
            </w:pPr>
            <w:r w:rsidRPr="00023B6A">
              <w:rPr>
                <w:rFonts w:ascii="Arial" w:hAnsi="Arial" w:cs="Arial"/>
                <w:b/>
                <w:sz w:val="20"/>
              </w:rPr>
              <w:t>Direct Reports:</w:t>
            </w:r>
          </w:p>
        </w:tc>
        <w:tc>
          <w:tcPr>
            <w:tcW w:w="6237" w:type="dxa"/>
            <w:tcBorders>
              <w:right w:val="nil"/>
            </w:tcBorders>
          </w:tcPr>
          <w:p w:rsidR="000C3365" w:rsidRPr="00023B6A" w:rsidRDefault="000C3365">
            <w:pPr>
              <w:pStyle w:val="Heading8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b/>
                <w:sz w:val="20"/>
              </w:rPr>
              <w:t>Site Managers</w:t>
            </w:r>
          </w:p>
        </w:tc>
        <w:tc>
          <w:tcPr>
            <w:tcW w:w="992" w:type="dxa"/>
            <w:tcBorders>
              <w:left w:val="nil"/>
            </w:tcBorders>
          </w:tcPr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Overall Purpose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23B6A" w:rsidRDefault="00023B6A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  <w:proofErr w:type="gramStart"/>
            <w:r w:rsidRPr="00023B6A">
              <w:rPr>
                <w:rFonts w:ascii="Arial" w:hAnsi="Arial" w:cs="Arial"/>
                <w:sz w:val="20"/>
              </w:rPr>
              <w:t>Responsible for the management and control of a number of developments within the business unit.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For achieving high standards of construction quality in a controlled cost environment, contributing to the regions profitability.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 Meeting planned objectives and maintaining high standards of health and safety at all times.  Liaising with other department heads to ensure budgeted objectives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are met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with a commitment to build and motivate a team and continued staff development. </w:t>
            </w: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Assist and deputise for the Production Director as required.  </w:t>
            </w:r>
          </w:p>
          <w:p w:rsidR="000C3365" w:rsidRPr="00023B6A" w:rsidRDefault="000C336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Key Activities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Health and Safety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C3365" w:rsidRPr="00023B6A" w:rsidRDefault="000C3365">
            <w:pPr>
              <w:ind w:left="170"/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Assist the Production Director in the following activities:</w:t>
            </w: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Ensure the pre start Health and Safety plan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is fully developed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prior to site start in accordance with Health and Safety Executive Directive.</w:t>
            </w: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Ensure the required registers and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site specific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environmental action plan (SSEAP) is produced in accordance with company guidelines.</w:t>
            </w: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Ensure that the </w:t>
            </w:r>
            <w:r w:rsidR="00FC23E9">
              <w:rPr>
                <w:rFonts w:ascii="Arial" w:hAnsi="Arial" w:cs="Arial"/>
                <w:sz w:val="20"/>
              </w:rPr>
              <w:t>Taylor</w:t>
            </w:r>
            <w:r w:rsidRPr="00023B6A">
              <w:rPr>
                <w:rFonts w:ascii="Arial" w:hAnsi="Arial" w:cs="Arial"/>
                <w:sz w:val="20"/>
              </w:rPr>
              <w:t xml:space="preserve"> Wimpey Health and Safety Procedures Manual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is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complied with at all times.</w:t>
            </w: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Ensure that in the event </w:t>
            </w:r>
            <w:r w:rsidR="00FC23E9">
              <w:rPr>
                <w:rFonts w:ascii="Arial" w:hAnsi="Arial" w:cs="Arial"/>
                <w:sz w:val="20"/>
              </w:rPr>
              <w:t>Taylor</w:t>
            </w:r>
            <w:r w:rsidRPr="00023B6A">
              <w:rPr>
                <w:rFonts w:ascii="Arial" w:hAnsi="Arial" w:cs="Arial"/>
                <w:sz w:val="20"/>
              </w:rPr>
              <w:t xml:space="preserve"> Wimpey policy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is revised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that all management are aware of this and amend their working practices as necessary.   </w:t>
            </w: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Interview consultants, sub-contractors and suppliers to ensure they are competent prior to commencing work for </w:t>
            </w:r>
            <w:r w:rsidR="00FC23E9">
              <w:rPr>
                <w:rFonts w:ascii="Arial" w:hAnsi="Arial" w:cs="Arial"/>
                <w:sz w:val="20"/>
              </w:rPr>
              <w:t>Taylor</w:t>
            </w:r>
            <w:r w:rsidRPr="00023B6A">
              <w:rPr>
                <w:rFonts w:ascii="Arial" w:hAnsi="Arial" w:cs="Arial"/>
                <w:sz w:val="20"/>
              </w:rPr>
              <w:t xml:space="preserve"> Wimpey.</w:t>
            </w: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Liaise with </w:t>
            </w:r>
            <w:r w:rsidR="00FC23E9">
              <w:rPr>
                <w:rFonts w:ascii="Arial" w:hAnsi="Arial" w:cs="Arial"/>
                <w:sz w:val="20"/>
              </w:rPr>
              <w:t>Taylor</w:t>
            </w:r>
            <w:r w:rsidRPr="00023B6A">
              <w:rPr>
                <w:rFonts w:ascii="Arial" w:hAnsi="Arial" w:cs="Arial"/>
                <w:sz w:val="20"/>
              </w:rPr>
              <w:t xml:space="preserve"> Wimpey safety consultants and GW Safety Director to ensure that monthly safety inspection reports are actioned. </w:t>
            </w: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Undertake detailed safety inspection with site mangers during site visits.</w:t>
            </w:r>
          </w:p>
          <w:p w:rsidR="000C3365" w:rsidRPr="00023B6A" w:rsidRDefault="000C3365" w:rsidP="000C3365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Ensure site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staff receive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the requisite Health and Safety training in accordance with the Company training matrix.</w:t>
            </w:r>
          </w:p>
          <w:p w:rsidR="000C3365" w:rsidRPr="00023B6A" w:rsidRDefault="000C3365">
            <w:pPr>
              <w:ind w:left="170"/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Pre Production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 w:rsidP="000C3365">
            <w:pPr>
              <w:numPr>
                <w:ilvl w:val="0"/>
                <w:numId w:val="2"/>
              </w:numPr>
              <w:tabs>
                <w:tab w:val="clear" w:pos="360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Assist the Production Director to appraise the project buildability in conjunction with the Development Department and produce a construction programme.</w:t>
            </w:r>
          </w:p>
          <w:p w:rsidR="000C3365" w:rsidRPr="00023B6A" w:rsidRDefault="000C3365" w:rsidP="000C3365">
            <w:pPr>
              <w:numPr>
                <w:ilvl w:val="0"/>
                <w:numId w:val="2"/>
              </w:numPr>
              <w:tabs>
                <w:tab w:val="clear" w:pos="360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Attend pre planning, pre tender and pre start meetings to ensure all necessary construction issues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are addressed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prior to commencement on site.</w:t>
            </w:r>
          </w:p>
          <w:p w:rsidR="000C3365" w:rsidRPr="00023B6A" w:rsidRDefault="000C3365">
            <w:pPr>
              <w:ind w:left="170"/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Management of construction process</w:t>
            </w:r>
          </w:p>
        </w:tc>
      </w:tr>
      <w:tr w:rsidR="000C3365" w:rsidRPr="00023B6A" w:rsidTr="00023B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889" w:type="dxa"/>
          </w:tcPr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FC23E9" w:rsidP="000C3365">
            <w:pPr>
              <w:numPr>
                <w:ilvl w:val="0"/>
                <w:numId w:val="2"/>
              </w:numPr>
              <w:tabs>
                <w:tab w:val="clear" w:pos="360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and i</w:t>
            </w:r>
            <w:r w:rsidR="000C3365" w:rsidRPr="00023B6A">
              <w:rPr>
                <w:rFonts w:ascii="Arial" w:hAnsi="Arial" w:cs="Arial"/>
                <w:sz w:val="20"/>
              </w:rPr>
              <w:t>ssue the agreed build programme and build direction to site managers.</w:t>
            </w:r>
          </w:p>
          <w:p w:rsidR="000C3365" w:rsidRPr="00023B6A" w:rsidRDefault="000C3365" w:rsidP="000C3365">
            <w:pPr>
              <w:numPr>
                <w:ilvl w:val="0"/>
                <w:numId w:val="2"/>
              </w:numPr>
              <w:tabs>
                <w:tab w:val="clear" w:pos="360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Review the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pre start method statement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submitted by the site manager.</w:t>
            </w:r>
          </w:p>
          <w:p w:rsidR="000C3365" w:rsidRPr="00023B6A" w:rsidRDefault="000C3365" w:rsidP="000C3365">
            <w:pPr>
              <w:numPr>
                <w:ilvl w:val="0"/>
                <w:numId w:val="2"/>
              </w:numPr>
              <w:tabs>
                <w:tab w:val="clear" w:pos="360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Review site mangers weekly progress and status report and liaise with other department heads to resolve any delays or issues identified.  </w:t>
            </w:r>
          </w:p>
          <w:p w:rsidR="000C3365" w:rsidRPr="00023B6A" w:rsidRDefault="000C3365" w:rsidP="000C3365">
            <w:pPr>
              <w:numPr>
                <w:ilvl w:val="0"/>
                <w:numId w:val="2"/>
              </w:numPr>
              <w:tabs>
                <w:tab w:val="clear" w:pos="360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Ensure site manager correctly plans and programmes his sub-contractors and materials suppliers to maintain the build programme. </w:t>
            </w:r>
          </w:p>
          <w:p w:rsidR="000C3365" w:rsidRPr="00023B6A" w:rsidRDefault="000C3365" w:rsidP="000C3365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  Ensure that a culture exists within the site construction team that guarantees the required </w:t>
            </w: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      </w:t>
            </w:r>
            <w:r w:rsidR="00FC23E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quality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of the build process is achieved.</w:t>
            </w:r>
          </w:p>
          <w:p w:rsidR="000C3365" w:rsidRPr="00023B6A" w:rsidRDefault="000C33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Liaise weekly with the sales team to review sales and production progress on a </w:t>
            </w:r>
            <w:proofErr w:type="gramStart"/>
            <w:r w:rsidRPr="00023B6A">
              <w:rPr>
                <w:rFonts w:ascii="Arial" w:hAnsi="Arial" w:cs="Arial"/>
                <w:sz w:val="20"/>
              </w:rPr>
              <w:t>site by site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basis.</w:t>
            </w:r>
          </w:p>
          <w:p w:rsidR="000C3365" w:rsidRPr="00023B6A" w:rsidRDefault="000C33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Undertake regular visits to site to review progress and adherence to company and HSE procedures and requirements. </w:t>
            </w:r>
          </w:p>
          <w:p w:rsidR="00023B6A" w:rsidRPr="00525F83" w:rsidRDefault="000C3365" w:rsidP="00023B6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25F83">
              <w:rPr>
                <w:rFonts w:ascii="Arial" w:hAnsi="Arial" w:cs="Arial"/>
                <w:sz w:val="20"/>
              </w:rPr>
              <w:t xml:space="preserve">Review sub contract and materials supplier performance, reporting continual problems and defects to the technical department. </w:t>
            </w:r>
            <w:bookmarkStart w:id="0" w:name="_GoBack"/>
            <w:bookmarkEnd w:id="0"/>
          </w:p>
          <w:p w:rsidR="00023B6A" w:rsidRDefault="000C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Manage the completion of developments including ensuring all roads, sewers and public open space </w:t>
            </w:r>
          </w:p>
          <w:p w:rsidR="000C3365" w:rsidRDefault="000C3365" w:rsidP="00023B6A">
            <w:pPr>
              <w:ind w:left="360"/>
              <w:rPr>
                <w:rFonts w:ascii="Arial" w:hAnsi="Arial" w:cs="Arial"/>
                <w:sz w:val="20"/>
              </w:rPr>
            </w:pPr>
            <w:proofErr w:type="gramStart"/>
            <w:r w:rsidRPr="00023B6A">
              <w:rPr>
                <w:rFonts w:ascii="Arial" w:hAnsi="Arial" w:cs="Arial"/>
                <w:sz w:val="20"/>
              </w:rPr>
              <w:t>adoptions</w:t>
            </w:r>
            <w:proofErr w:type="gramEnd"/>
            <w:r w:rsidRPr="00023B6A">
              <w:rPr>
                <w:rFonts w:ascii="Arial" w:hAnsi="Arial" w:cs="Arial"/>
                <w:sz w:val="20"/>
              </w:rPr>
              <w:t xml:space="preserve"> are carried out in a timely manner.</w:t>
            </w:r>
          </w:p>
          <w:p w:rsidR="00023B6A" w:rsidRPr="00023B6A" w:rsidRDefault="00023B6A" w:rsidP="00023B6A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Cost Control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9889" w:type="dxa"/>
          </w:tcPr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Liaise with the technical and design departments to consider cost effective construction processes at both the design and construction phases. 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Investigate exceptional cost excesses and taken appropriate remedial action.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Liaise with sub contractors and suppliers in conjunction with the technical department to reduce costs whilst maintaining quality and customer satisfaction levels. 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Review build programme in conjunction with the Sales and Marketing Director to ensure work in progress levels do not exceed targets established at site start.  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Ensure the </w:t>
            </w:r>
            <w:r w:rsidR="00FC23E9">
              <w:rPr>
                <w:rFonts w:ascii="Arial" w:hAnsi="Arial" w:cs="Arial"/>
                <w:sz w:val="20"/>
              </w:rPr>
              <w:t>Taylor</w:t>
            </w:r>
            <w:r w:rsidRPr="00023B6A">
              <w:rPr>
                <w:rFonts w:ascii="Arial" w:hAnsi="Arial" w:cs="Arial"/>
                <w:sz w:val="20"/>
              </w:rPr>
              <w:t xml:space="preserve"> Wimpey waste management policy is enforced.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Regularly review sub contractor day work sheets and other cost issues with the technical team.</w:t>
            </w: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Customer Care</w:t>
            </w:r>
          </w:p>
        </w:tc>
      </w:tr>
      <w:tr w:rsidR="000C3365" w:rsidRPr="00023B6A" w:rsidTr="00023B6A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9889" w:type="dxa"/>
          </w:tcPr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Instil within the site management team a culture, which encourages continuous improvement. </w:t>
            </w:r>
          </w:p>
          <w:p w:rsidR="000C3365" w:rsidRPr="00023B6A" w:rsidRDefault="000C336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Monitor all customer satisfaction surveys and summary reports to ensure that trends are recognised and appropriate action taken to improve performance.</w:t>
            </w:r>
          </w:p>
          <w:p w:rsidR="000C3365" w:rsidRPr="00023B6A" w:rsidRDefault="000C336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Resolve any disputes that may arise to the satisfaction of the purchaser whilst maintaining financial and commercial controls. </w:t>
            </w:r>
          </w:p>
          <w:p w:rsidR="000C3365" w:rsidRPr="00023B6A" w:rsidRDefault="000C336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 xml:space="preserve">Monitor the application of the customer care procedures to ensure customer satisfaction.  </w:t>
            </w: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Personnel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9889" w:type="dxa"/>
          </w:tcPr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Undertake annual performance appraisals.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Identify and action appropriate training and development opportunities to develop skills and knowledge of staff.</w:t>
            </w:r>
          </w:p>
          <w:p w:rsidR="000C3365" w:rsidRPr="00023B6A" w:rsidRDefault="000C336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Manage performance and disciplinary issues in accordance with Company procedures.</w:t>
            </w:r>
          </w:p>
          <w:p w:rsidR="000C3365" w:rsidRPr="00023B6A" w:rsidRDefault="000C336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Plan and manage manning levels including the recruitment of appropriately qualified and experienced personnel.</w:t>
            </w:r>
          </w:p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  <w:u w:val="none"/>
              </w:rPr>
              <w:t>Key Competences</w:t>
            </w:r>
          </w:p>
        </w:tc>
      </w:tr>
      <w:tr w:rsidR="000C3365" w:rsidRPr="00023B6A" w:rsidTr="00023B6A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9889" w:type="dxa"/>
          </w:tcPr>
          <w:p w:rsidR="000C3365" w:rsidRPr="00023B6A" w:rsidRDefault="000C3365">
            <w:pPr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Customer Focus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Decision making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Innovativeness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Leadership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Planning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Tenacity</w:t>
            </w: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23B6A">
              <w:rPr>
                <w:rFonts w:ascii="Arial" w:hAnsi="Arial" w:cs="Arial"/>
                <w:sz w:val="20"/>
              </w:rPr>
              <w:t>Delegation</w:t>
            </w: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3365" w:rsidRPr="00023B6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0C3365" w:rsidRPr="00023B6A" w:rsidRDefault="000C3365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023B6A">
              <w:rPr>
                <w:rFonts w:ascii="Arial" w:hAnsi="Arial" w:cs="Arial"/>
                <w:sz w:val="20"/>
              </w:rPr>
              <w:br w:type="page"/>
            </w:r>
            <w:r w:rsidRPr="00023B6A">
              <w:rPr>
                <w:rFonts w:ascii="Arial" w:hAnsi="Arial" w:cs="Arial"/>
                <w:sz w:val="20"/>
                <w:u w:val="none"/>
              </w:rPr>
              <w:t>Key Experience</w:t>
            </w:r>
          </w:p>
        </w:tc>
      </w:tr>
      <w:tr w:rsidR="000C3365" w:rsidRPr="00023B6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89" w:type="dxa"/>
          </w:tcPr>
          <w:p w:rsidR="000C3365" w:rsidRPr="00023B6A" w:rsidRDefault="000C33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proofErr w:type="gramStart"/>
            <w:r w:rsidRPr="00023B6A">
              <w:rPr>
                <w:rFonts w:ascii="Arial" w:hAnsi="Arial" w:cs="Arial"/>
                <w:sz w:val="20"/>
              </w:rPr>
              <w:t>Extensive previous production knowledge.</w:t>
            </w:r>
            <w:proofErr w:type="gramEnd"/>
          </w:p>
          <w:p w:rsidR="000C3365" w:rsidRPr="00023B6A" w:rsidRDefault="000C336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proofErr w:type="gramStart"/>
            <w:r w:rsidRPr="00023B6A">
              <w:rPr>
                <w:rFonts w:ascii="Arial" w:hAnsi="Arial" w:cs="Arial"/>
                <w:sz w:val="20"/>
              </w:rPr>
              <w:t>Management of people (staff, sub contractors and suppliers).</w:t>
            </w:r>
            <w:proofErr w:type="gramEnd"/>
          </w:p>
          <w:p w:rsidR="000C3365" w:rsidRPr="00023B6A" w:rsidRDefault="000C33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3365" w:rsidRPr="00023B6A" w:rsidRDefault="000C3365">
      <w:pPr>
        <w:rPr>
          <w:rFonts w:ascii="Arial" w:hAnsi="Arial" w:cs="Arial"/>
          <w:sz w:val="20"/>
        </w:rPr>
      </w:pPr>
    </w:p>
    <w:p w:rsidR="00653738" w:rsidRPr="00023B6A" w:rsidRDefault="00653738">
      <w:pPr>
        <w:rPr>
          <w:rFonts w:ascii="Arial" w:hAnsi="Arial" w:cs="Arial"/>
          <w:sz w:val="20"/>
        </w:rPr>
      </w:pPr>
    </w:p>
    <w:p w:rsidR="00525F83" w:rsidRDefault="00023B6A" w:rsidP="00525F8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23B6A">
        <w:rPr>
          <w:rFonts w:ascii="Arial" w:hAnsi="Arial" w:cs="Arial"/>
          <w:b/>
          <w:sz w:val="20"/>
        </w:rPr>
        <w:t xml:space="preserve">If you wish to </w:t>
      </w:r>
      <w:proofErr w:type="gramStart"/>
      <w:r w:rsidRPr="00023B6A">
        <w:rPr>
          <w:rFonts w:ascii="Arial" w:hAnsi="Arial" w:cs="Arial"/>
          <w:b/>
          <w:sz w:val="20"/>
        </w:rPr>
        <w:t>be considered</w:t>
      </w:r>
      <w:proofErr w:type="gramEnd"/>
      <w:r w:rsidRPr="00023B6A">
        <w:rPr>
          <w:rFonts w:ascii="Arial" w:hAnsi="Arial" w:cs="Arial"/>
          <w:b/>
          <w:sz w:val="20"/>
        </w:rPr>
        <w:t xml:space="preserve"> for this role then please apply to Andrew Sturla by 24 July 2015</w:t>
      </w:r>
    </w:p>
    <w:p w:rsidR="00023B6A" w:rsidRPr="00023B6A" w:rsidRDefault="00023B6A" w:rsidP="00525F8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023B6A">
        <w:rPr>
          <w:rFonts w:ascii="Arial" w:hAnsi="Arial" w:cs="Arial"/>
          <w:b/>
          <w:sz w:val="20"/>
        </w:rPr>
        <w:t>Andrew.sturla@taylorwimpey.com</w:t>
      </w:r>
    </w:p>
    <w:p w:rsidR="00653738" w:rsidRDefault="00653738"/>
    <w:sectPr w:rsidR="00653738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4F" w:rsidRDefault="00895A4F">
      <w:r>
        <w:separator/>
      </w:r>
    </w:p>
  </w:endnote>
  <w:endnote w:type="continuationSeparator" w:id="0">
    <w:p w:rsidR="00895A4F" w:rsidRDefault="0089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4F" w:rsidRDefault="00895A4F">
      <w:r>
        <w:separator/>
      </w:r>
    </w:p>
  </w:footnote>
  <w:footnote w:type="continuationSeparator" w:id="0">
    <w:p w:rsidR="00895A4F" w:rsidRDefault="0089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E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144F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4">
    <w:nsid w:val="50807A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AD41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030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38"/>
    <w:rsid w:val="00023B6A"/>
    <w:rsid w:val="00064ECD"/>
    <w:rsid w:val="00073224"/>
    <w:rsid w:val="000C3365"/>
    <w:rsid w:val="0014461C"/>
    <w:rsid w:val="002E4300"/>
    <w:rsid w:val="00343856"/>
    <w:rsid w:val="00525F83"/>
    <w:rsid w:val="00653738"/>
    <w:rsid w:val="006E1810"/>
    <w:rsid w:val="00732AB2"/>
    <w:rsid w:val="007635FD"/>
    <w:rsid w:val="007B10A8"/>
    <w:rsid w:val="00895A4F"/>
    <w:rsid w:val="009B4E3E"/>
    <w:rsid w:val="00ED5E7D"/>
    <w:rsid w:val="00F85E78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53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53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2004-04-01T07:57:00Z</cp:lastPrinted>
  <dcterms:created xsi:type="dcterms:W3CDTF">2015-06-29T15:28:00Z</dcterms:created>
  <dcterms:modified xsi:type="dcterms:W3CDTF">2015-06-29T15:28:00Z</dcterms:modified>
</cp:coreProperties>
</file>