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7F" w:rsidRPr="00C8571F" w:rsidRDefault="0017667F" w:rsidP="0017667F">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229"/>
      </w:tblGrid>
      <w:tr w:rsidR="0017667F" w:rsidRPr="00C8571F" w:rsidTr="00C779CB">
        <w:tblPrEx>
          <w:tblCellMar>
            <w:top w:w="0" w:type="dxa"/>
            <w:bottom w:w="0" w:type="dxa"/>
          </w:tblCellMar>
        </w:tblPrEx>
        <w:trPr>
          <w:trHeight w:val="673"/>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Job Title:</w:t>
            </w:r>
          </w:p>
        </w:tc>
        <w:tc>
          <w:tcPr>
            <w:tcW w:w="7229" w:type="dxa"/>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t>Production Manager</w:t>
            </w:r>
          </w:p>
        </w:tc>
      </w:tr>
      <w:tr w:rsidR="0017667F" w:rsidRPr="00C8571F" w:rsidTr="00C779CB">
        <w:tblPrEx>
          <w:tblCellMar>
            <w:top w:w="0" w:type="dxa"/>
            <w:bottom w:w="0" w:type="dxa"/>
          </w:tblCellMar>
        </w:tblPrEx>
        <w:trPr>
          <w:trHeight w:val="596"/>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Business:</w:t>
            </w:r>
          </w:p>
        </w:tc>
        <w:tc>
          <w:tcPr>
            <w:tcW w:w="7229" w:type="dxa"/>
            <w:vAlign w:val="center"/>
          </w:tcPr>
          <w:p w:rsidR="0017667F" w:rsidRPr="00C8571F" w:rsidRDefault="00C8571F" w:rsidP="0017667F">
            <w:pPr>
              <w:rPr>
                <w:rFonts w:ascii="Arial" w:hAnsi="Arial" w:cs="Arial"/>
                <w:b/>
                <w:sz w:val="20"/>
              </w:rPr>
            </w:pPr>
            <w:r w:rsidRPr="00C8571F">
              <w:rPr>
                <w:rFonts w:ascii="Arial" w:hAnsi="Arial" w:cs="Arial"/>
                <w:b/>
                <w:sz w:val="20"/>
              </w:rPr>
              <w:t>Taylor Wimpey South Thames</w:t>
            </w:r>
          </w:p>
        </w:tc>
      </w:tr>
      <w:tr w:rsidR="0017667F" w:rsidRPr="00C8571F" w:rsidTr="00C779CB">
        <w:tblPrEx>
          <w:tblCellMar>
            <w:top w:w="0" w:type="dxa"/>
            <w:bottom w:w="0" w:type="dxa"/>
          </w:tblCellMar>
        </w:tblPrEx>
        <w:trPr>
          <w:trHeight w:val="582"/>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Location:</w:t>
            </w:r>
          </w:p>
        </w:tc>
        <w:tc>
          <w:tcPr>
            <w:tcW w:w="7229" w:type="dxa"/>
            <w:vAlign w:val="center"/>
          </w:tcPr>
          <w:p w:rsidR="0017667F" w:rsidRPr="00C8571F" w:rsidRDefault="00C8571F" w:rsidP="0017667F">
            <w:pPr>
              <w:rPr>
                <w:rFonts w:ascii="Arial" w:hAnsi="Arial" w:cs="Arial"/>
                <w:b/>
                <w:sz w:val="20"/>
              </w:rPr>
            </w:pPr>
            <w:r w:rsidRPr="00C8571F">
              <w:rPr>
                <w:rFonts w:ascii="Arial" w:hAnsi="Arial" w:cs="Arial"/>
                <w:b/>
                <w:sz w:val="20"/>
              </w:rPr>
              <w:t>Leatherhead</w:t>
            </w:r>
          </w:p>
        </w:tc>
      </w:tr>
      <w:tr w:rsidR="0017667F" w:rsidRPr="00C8571F" w:rsidTr="00C779CB">
        <w:tblPrEx>
          <w:tblCellMar>
            <w:top w:w="0" w:type="dxa"/>
            <w:bottom w:w="0" w:type="dxa"/>
          </w:tblCellMar>
        </w:tblPrEx>
        <w:trPr>
          <w:trHeight w:val="595"/>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Reports to:</w:t>
            </w:r>
          </w:p>
        </w:tc>
        <w:tc>
          <w:tcPr>
            <w:tcW w:w="7229" w:type="dxa"/>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t>Production Director</w:t>
            </w:r>
          </w:p>
        </w:tc>
      </w:tr>
      <w:tr w:rsidR="0017667F" w:rsidRPr="00C8571F" w:rsidTr="00C779CB">
        <w:tblPrEx>
          <w:tblCellMar>
            <w:top w:w="0" w:type="dxa"/>
            <w:bottom w:w="0" w:type="dxa"/>
          </w:tblCellMar>
        </w:tblPrEx>
        <w:trPr>
          <w:trHeight w:val="595"/>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Direct Reports:</w:t>
            </w:r>
          </w:p>
        </w:tc>
        <w:tc>
          <w:tcPr>
            <w:tcW w:w="7229" w:type="dxa"/>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t>Site Managers</w:t>
            </w:r>
          </w:p>
        </w:tc>
      </w:tr>
      <w:tr w:rsidR="0017667F" w:rsidRPr="00C8571F" w:rsidTr="00C779CB">
        <w:tblPrEx>
          <w:tblCellMar>
            <w:top w:w="0" w:type="dxa"/>
            <w:bottom w:w="0" w:type="dxa"/>
          </w:tblCellMar>
        </w:tblPrEx>
        <w:trPr>
          <w:trHeight w:val="595"/>
        </w:trPr>
        <w:tc>
          <w:tcPr>
            <w:tcW w:w="2235"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Main Interfaces:</w:t>
            </w:r>
          </w:p>
        </w:tc>
        <w:tc>
          <w:tcPr>
            <w:tcW w:w="7229" w:type="dxa"/>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t>Consultants/Sub Contractors/Suppliers</w:t>
            </w:r>
          </w:p>
          <w:p w:rsidR="0017667F" w:rsidRPr="00C8571F" w:rsidRDefault="0017667F" w:rsidP="0017667F">
            <w:pPr>
              <w:rPr>
                <w:rFonts w:ascii="Arial" w:hAnsi="Arial" w:cs="Arial"/>
                <w:b/>
                <w:sz w:val="20"/>
              </w:rPr>
            </w:pPr>
            <w:r w:rsidRPr="00C8571F">
              <w:rPr>
                <w:rFonts w:ascii="Arial" w:hAnsi="Arial" w:cs="Arial"/>
                <w:b/>
                <w:sz w:val="20"/>
              </w:rPr>
              <w:t>Safety Consultants/Management Team/Site Management Teams/Production Secretary</w:t>
            </w:r>
          </w:p>
        </w:tc>
      </w:tr>
    </w:tbl>
    <w:p w:rsidR="0017667F" w:rsidRPr="00C8571F" w:rsidRDefault="0017667F" w:rsidP="0017667F">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17667F" w:rsidRPr="00C8571F" w:rsidTr="00C779CB">
        <w:tblPrEx>
          <w:tblCellMar>
            <w:top w:w="0" w:type="dxa"/>
            <w:bottom w:w="0" w:type="dxa"/>
          </w:tblCellMar>
        </w:tblPrEx>
        <w:trPr>
          <w:trHeight w:val="619"/>
        </w:trPr>
        <w:tc>
          <w:tcPr>
            <w:tcW w:w="9464" w:type="dxa"/>
            <w:shd w:val="clear" w:color="auto" w:fill="CCCCCC"/>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t>Overall Purpose</w:t>
            </w:r>
          </w:p>
        </w:tc>
      </w:tr>
      <w:tr w:rsidR="0017667F" w:rsidRPr="00C8571F" w:rsidTr="00C779CB">
        <w:tblPrEx>
          <w:tblCellMar>
            <w:top w:w="0" w:type="dxa"/>
            <w:bottom w:w="0" w:type="dxa"/>
          </w:tblCellMar>
        </w:tblPrEx>
        <w:trPr>
          <w:trHeight w:val="1185"/>
        </w:trPr>
        <w:tc>
          <w:tcPr>
            <w:tcW w:w="9464" w:type="dxa"/>
          </w:tcPr>
          <w:p w:rsidR="0017667F" w:rsidRPr="00C8571F" w:rsidRDefault="0017667F" w:rsidP="0017667F">
            <w:pPr>
              <w:jc w:val="both"/>
              <w:rPr>
                <w:rFonts w:ascii="Arial" w:hAnsi="Arial" w:cs="Arial"/>
                <w:sz w:val="20"/>
              </w:rPr>
            </w:pPr>
          </w:p>
          <w:p w:rsidR="0017667F" w:rsidRPr="00C8571F" w:rsidRDefault="0017667F" w:rsidP="0017667F">
            <w:pPr>
              <w:jc w:val="both"/>
              <w:rPr>
                <w:rFonts w:ascii="Arial" w:hAnsi="Arial" w:cs="Arial"/>
                <w:sz w:val="20"/>
              </w:rPr>
            </w:pPr>
            <w:r w:rsidRPr="00C8571F">
              <w:rPr>
                <w:rFonts w:ascii="Arial" w:hAnsi="Arial" w:cs="Arial"/>
                <w:sz w:val="20"/>
              </w:rPr>
              <w:t xml:space="preserve">Responsible for the management and control of a number of developments within the Business Unit, in order to achieve high standards of construction quality in a controlled cost environment, contributing to the Region’s profitability.  To meet planned objectives and maintain high standards of health and safety at all times.  To liaise with other Department Heads to ensure budgeted objectives are met with a commitment to build and motivate a team and continued staff development. </w:t>
            </w:r>
          </w:p>
          <w:p w:rsidR="0017667F" w:rsidRPr="00C8571F" w:rsidRDefault="0017667F" w:rsidP="0017667F">
            <w:pPr>
              <w:jc w:val="both"/>
              <w:rPr>
                <w:rFonts w:ascii="Arial" w:hAnsi="Arial" w:cs="Arial"/>
                <w:sz w:val="20"/>
              </w:rPr>
            </w:pPr>
          </w:p>
          <w:p w:rsidR="0017667F" w:rsidRPr="00C8571F" w:rsidRDefault="0017667F" w:rsidP="0017667F">
            <w:pPr>
              <w:jc w:val="both"/>
              <w:rPr>
                <w:rFonts w:ascii="Arial" w:hAnsi="Arial" w:cs="Arial"/>
                <w:sz w:val="20"/>
              </w:rPr>
            </w:pPr>
            <w:r w:rsidRPr="00C8571F">
              <w:rPr>
                <w:rFonts w:ascii="Arial" w:hAnsi="Arial" w:cs="Arial"/>
                <w:sz w:val="20"/>
              </w:rPr>
              <w:t xml:space="preserve">Assist and deputise for the Production Director as required. </w:t>
            </w:r>
          </w:p>
          <w:p w:rsidR="0017667F" w:rsidRPr="00C8571F" w:rsidRDefault="0017667F" w:rsidP="0017667F">
            <w:pPr>
              <w:jc w:val="both"/>
              <w:rPr>
                <w:rFonts w:ascii="Arial" w:hAnsi="Arial" w:cs="Arial"/>
                <w:sz w:val="20"/>
              </w:rPr>
            </w:pPr>
          </w:p>
        </w:tc>
      </w:tr>
    </w:tbl>
    <w:p w:rsidR="0017667F" w:rsidRPr="00C8571F" w:rsidRDefault="0017667F" w:rsidP="0017667F">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17667F" w:rsidRPr="00C8571F" w:rsidTr="00C779CB">
        <w:tblPrEx>
          <w:tblCellMar>
            <w:top w:w="0" w:type="dxa"/>
            <w:bottom w:w="0" w:type="dxa"/>
          </w:tblCellMar>
        </w:tblPrEx>
        <w:trPr>
          <w:trHeight w:val="633"/>
        </w:trPr>
        <w:tc>
          <w:tcPr>
            <w:tcW w:w="9464"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General duties:</w:t>
            </w:r>
          </w:p>
        </w:tc>
      </w:tr>
      <w:tr w:rsidR="0017667F" w:rsidRPr="00C8571F" w:rsidTr="00C779CB">
        <w:tblPrEx>
          <w:tblCellMar>
            <w:top w:w="0" w:type="dxa"/>
            <w:bottom w:w="0" w:type="dxa"/>
          </w:tblCellMar>
        </w:tblPrEx>
        <w:trPr>
          <w:trHeight w:val="633"/>
        </w:trPr>
        <w:tc>
          <w:tcPr>
            <w:tcW w:w="9464" w:type="dxa"/>
            <w:shd w:val="clear" w:color="auto" w:fill="CCCCCC"/>
            <w:vAlign w:val="center"/>
          </w:tcPr>
          <w:p w:rsidR="0017667F" w:rsidRPr="00C8571F" w:rsidRDefault="0017667F" w:rsidP="0017667F">
            <w:pPr>
              <w:numPr>
                <w:ilvl w:val="0"/>
                <w:numId w:val="10"/>
              </w:numPr>
              <w:ind w:left="284" w:hanging="284"/>
              <w:rPr>
                <w:rFonts w:ascii="Arial" w:hAnsi="Arial" w:cs="Arial"/>
                <w:b/>
                <w:bCs/>
                <w:sz w:val="20"/>
              </w:rPr>
            </w:pPr>
            <w:r w:rsidRPr="00C8571F">
              <w:rPr>
                <w:rFonts w:ascii="Arial" w:hAnsi="Arial" w:cs="Arial"/>
                <w:b/>
                <w:bCs/>
                <w:sz w:val="20"/>
              </w:rPr>
              <w:t xml:space="preserve"> Health &amp; Safety</w:t>
            </w:r>
          </w:p>
        </w:tc>
      </w:tr>
      <w:tr w:rsidR="0017667F" w:rsidRPr="00C8571F" w:rsidTr="00C779CB">
        <w:tblPrEx>
          <w:tblCellMar>
            <w:top w:w="0" w:type="dxa"/>
            <w:bottom w:w="0" w:type="dxa"/>
          </w:tblCellMar>
        </w:tblPrEx>
        <w:tc>
          <w:tcPr>
            <w:tcW w:w="9464" w:type="dxa"/>
            <w:tcBorders>
              <w:bottom w:val="single" w:sz="4" w:space="0" w:color="auto"/>
            </w:tcBorders>
          </w:tcPr>
          <w:p w:rsidR="0017667F" w:rsidRPr="00C8571F" w:rsidRDefault="0017667F" w:rsidP="0017667F">
            <w:pPr>
              <w:ind w:left="360"/>
              <w:jc w:val="both"/>
              <w:rPr>
                <w:rFonts w:ascii="Arial" w:hAnsi="Arial" w:cs="Arial"/>
                <w:sz w:val="20"/>
              </w:rPr>
            </w:pPr>
          </w:p>
          <w:p w:rsidR="0017667F" w:rsidRPr="00C8571F" w:rsidRDefault="0017667F" w:rsidP="0017667F">
            <w:pPr>
              <w:jc w:val="both"/>
              <w:rPr>
                <w:rFonts w:ascii="Arial" w:hAnsi="Arial" w:cs="Arial"/>
                <w:sz w:val="20"/>
              </w:rPr>
            </w:pPr>
            <w:r w:rsidRPr="00C8571F">
              <w:rPr>
                <w:rFonts w:ascii="Arial" w:hAnsi="Arial" w:cs="Arial"/>
                <w:sz w:val="20"/>
              </w:rPr>
              <w:t>Assist the Production Director in the following activities:</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Ensure the Pre Start Health &amp; Safety Plan is fully developed prior to site start, in accordance with the Health &amp; Safety Executive Directive</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Ensure the required registers and Site Specific Environmental Action Plan (SSEAP) is produced in accordance with Company Guidelines</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Ensure that the Taylor Wimpey Health &amp; Safety Procedures Manual is complied with at all times</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 xml:space="preserve">Ensure that in the event that the Taylor Wimpey Policy is revised, that all Management are aware of this and that they amend their Working Practices as necessary  </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Interview Consultants, Sub Contractors and Suppliers, to ensure they are competent, prior to commencing work for Taylor Wimpey</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 xml:space="preserve">Liaise with Taylor Wimpey Safety Consultants and the TW Safety Director, to ensure that monthly safety inspection reports are actioned </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Undertake detailed safety inspections with Site Managers during site visits</w:t>
            </w:r>
          </w:p>
          <w:p w:rsidR="0017667F" w:rsidRPr="00C8571F" w:rsidRDefault="0017667F" w:rsidP="0017667F">
            <w:pPr>
              <w:numPr>
                <w:ilvl w:val="0"/>
                <w:numId w:val="9"/>
              </w:numPr>
              <w:tabs>
                <w:tab w:val="num" w:pos="284"/>
              </w:tabs>
              <w:ind w:left="284" w:hanging="284"/>
              <w:jc w:val="both"/>
              <w:rPr>
                <w:rFonts w:ascii="Arial" w:hAnsi="Arial" w:cs="Arial"/>
                <w:sz w:val="20"/>
              </w:rPr>
            </w:pPr>
            <w:r w:rsidRPr="00C8571F">
              <w:rPr>
                <w:rFonts w:ascii="Arial" w:hAnsi="Arial" w:cs="Arial"/>
                <w:sz w:val="20"/>
              </w:rPr>
              <w:t>Ensure all Site Staff receive the requisite Health &amp; Safety Training, in accordance with the Company’s Training Matrix.</w:t>
            </w:r>
          </w:p>
        </w:tc>
      </w:tr>
    </w:tbl>
    <w:p w:rsidR="0017667F" w:rsidRPr="00C8571F" w:rsidRDefault="0017667F" w:rsidP="0017667F">
      <w:pPr>
        <w:rPr>
          <w:rFonts w:ascii="Arial" w:hAnsi="Arial"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gridCol w:w="425"/>
      </w:tblGrid>
      <w:tr w:rsidR="0017667F" w:rsidRPr="00C8571F" w:rsidTr="00C8571F">
        <w:tblPrEx>
          <w:tblCellMar>
            <w:top w:w="0" w:type="dxa"/>
            <w:bottom w:w="0" w:type="dxa"/>
          </w:tblCellMar>
        </w:tblPrEx>
        <w:trPr>
          <w:gridAfter w:val="1"/>
          <w:wAfter w:w="425" w:type="dxa"/>
          <w:trHeight w:val="635"/>
        </w:trPr>
        <w:tc>
          <w:tcPr>
            <w:tcW w:w="9464" w:type="dxa"/>
            <w:shd w:val="clear" w:color="auto" w:fill="CCCCCC"/>
            <w:vAlign w:val="center"/>
          </w:tcPr>
          <w:p w:rsidR="0017667F" w:rsidRPr="00C8571F" w:rsidRDefault="0017667F" w:rsidP="0017667F">
            <w:pPr>
              <w:rPr>
                <w:rFonts w:ascii="Arial" w:hAnsi="Arial" w:cs="Arial"/>
                <w:b/>
                <w:bCs/>
                <w:sz w:val="20"/>
              </w:rPr>
            </w:pPr>
            <w:r w:rsidRPr="00C8571F">
              <w:rPr>
                <w:rFonts w:ascii="Arial" w:hAnsi="Arial" w:cs="Arial"/>
                <w:b/>
                <w:bCs/>
                <w:sz w:val="20"/>
              </w:rPr>
              <w:t>Specific Duties Particular to the role of Production Manager</w:t>
            </w:r>
          </w:p>
        </w:tc>
      </w:tr>
      <w:tr w:rsidR="0017667F" w:rsidRPr="00C8571F" w:rsidTr="00C8571F">
        <w:tblPrEx>
          <w:tblCellMar>
            <w:top w:w="0" w:type="dxa"/>
            <w:bottom w:w="0" w:type="dxa"/>
          </w:tblCellMar>
        </w:tblPrEx>
        <w:trPr>
          <w:gridAfter w:val="1"/>
          <w:wAfter w:w="425" w:type="dxa"/>
          <w:trHeight w:val="514"/>
        </w:trPr>
        <w:tc>
          <w:tcPr>
            <w:tcW w:w="9464" w:type="dxa"/>
            <w:shd w:val="pct12" w:color="000000" w:fill="FFFFFF"/>
            <w:vAlign w:val="center"/>
          </w:tcPr>
          <w:p w:rsidR="0017667F" w:rsidRPr="00C8571F" w:rsidRDefault="0017667F" w:rsidP="0017667F">
            <w:pPr>
              <w:keepNext/>
              <w:numPr>
                <w:ilvl w:val="0"/>
                <w:numId w:val="10"/>
              </w:numPr>
              <w:ind w:left="284" w:hanging="284"/>
              <w:outlineLvl w:val="0"/>
              <w:rPr>
                <w:rFonts w:ascii="Arial" w:hAnsi="Arial" w:cs="Arial"/>
                <w:b/>
                <w:bCs/>
                <w:sz w:val="20"/>
              </w:rPr>
            </w:pPr>
            <w:r w:rsidRPr="00C8571F">
              <w:rPr>
                <w:rFonts w:ascii="Arial" w:hAnsi="Arial" w:cs="Arial"/>
                <w:b/>
                <w:bCs/>
                <w:sz w:val="20"/>
              </w:rPr>
              <w:t xml:space="preserve"> </w:t>
            </w:r>
            <w:r w:rsidR="00C8571F" w:rsidRPr="00C8571F">
              <w:rPr>
                <w:rFonts w:ascii="Arial" w:hAnsi="Arial" w:cs="Arial"/>
                <w:b/>
                <w:bCs/>
                <w:sz w:val="20"/>
              </w:rPr>
              <w:t>Pre-Production</w:t>
            </w:r>
          </w:p>
        </w:tc>
      </w:tr>
      <w:tr w:rsidR="0017667F" w:rsidRPr="00C8571F" w:rsidTr="00C8571F">
        <w:tblPrEx>
          <w:tblCellMar>
            <w:top w:w="0" w:type="dxa"/>
            <w:bottom w:w="0" w:type="dxa"/>
          </w:tblCellMar>
        </w:tblPrEx>
        <w:trPr>
          <w:gridAfter w:val="1"/>
          <w:wAfter w:w="425" w:type="dxa"/>
        </w:trPr>
        <w:tc>
          <w:tcPr>
            <w:tcW w:w="9464" w:type="dxa"/>
          </w:tcPr>
          <w:p w:rsidR="0017667F" w:rsidRPr="00C8571F" w:rsidRDefault="0017667F" w:rsidP="0017667F">
            <w:pPr>
              <w:jc w:val="both"/>
              <w:rPr>
                <w:rFonts w:ascii="Arial" w:hAnsi="Arial" w:cs="Arial"/>
                <w:sz w:val="20"/>
              </w:rPr>
            </w:pP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Assist the Production Director to appraise the project buildability, in conjunction with the Development Department and produce a Construction Programme.</w:t>
            </w: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Attend Pre Planning; Pre Tender; and Pre Start Meetings, to ensure all necessary construction issues are addressed, prior to commencement on site.</w:t>
            </w:r>
          </w:p>
          <w:p w:rsidR="0017667F" w:rsidRPr="00C8571F" w:rsidRDefault="0017667F" w:rsidP="0017667F">
            <w:pPr>
              <w:ind w:left="170"/>
              <w:rPr>
                <w:rFonts w:ascii="Arial" w:hAnsi="Arial" w:cs="Arial"/>
                <w:sz w:val="20"/>
              </w:rPr>
            </w:pPr>
          </w:p>
        </w:tc>
      </w:tr>
      <w:tr w:rsidR="0017667F" w:rsidRPr="00C8571F" w:rsidTr="00C8571F">
        <w:tblPrEx>
          <w:tblCellMar>
            <w:top w:w="0" w:type="dxa"/>
            <w:bottom w:w="0" w:type="dxa"/>
          </w:tblCellMar>
        </w:tblPrEx>
        <w:trPr>
          <w:gridAfter w:val="1"/>
          <w:wAfter w:w="425" w:type="dxa"/>
          <w:trHeight w:val="534"/>
        </w:trPr>
        <w:tc>
          <w:tcPr>
            <w:tcW w:w="9464" w:type="dxa"/>
            <w:shd w:val="clear" w:color="auto" w:fill="CCCCCC"/>
            <w:vAlign w:val="center"/>
          </w:tcPr>
          <w:p w:rsidR="0017667F" w:rsidRPr="00C8571F" w:rsidRDefault="0017667F" w:rsidP="0017667F">
            <w:pPr>
              <w:keepNext/>
              <w:outlineLvl w:val="0"/>
              <w:rPr>
                <w:rFonts w:ascii="Arial" w:hAnsi="Arial" w:cs="Arial"/>
                <w:b/>
                <w:bCs/>
                <w:sz w:val="20"/>
              </w:rPr>
            </w:pPr>
            <w:r w:rsidRPr="00C8571F">
              <w:rPr>
                <w:rFonts w:ascii="Arial" w:hAnsi="Arial" w:cs="Arial"/>
                <w:b/>
                <w:bCs/>
                <w:sz w:val="20"/>
              </w:rPr>
              <w:lastRenderedPageBreak/>
              <w:t>Skills and Experience required</w:t>
            </w:r>
          </w:p>
        </w:tc>
      </w:tr>
      <w:tr w:rsidR="0017667F" w:rsidRPr="00C8571F" w:rsidTr="00C8571F">
        <w:tblPrEx>
          <w:tblCellMar>
            <w:top w:w="0" w:type="dxa"/>
            <w:bottom w:w="0" w:type="dxa"/>
          </w:tblCellMar>
        </w:tblPrEx>
        <w:trPr>
          <w:gridAfter w:val="1"/>
          <w:wAfter w:w="425" w:type="dxa"/>
          <w:trHeight w:val="611"/>
        </w:trPr>
        <w:tc>
          <w:tcPr>
            <w:tcW w:w="9464" w:type="dxa"/>
            <w:shd w:val="pct12" w:color="000000" w:fill="FFFFFF"/>
            <w:vAlign w:val="center"/>
          </w:tcPr>
          <w:p w:rsidR="0017667F" w:rsidRPr="00C8571F" w:rsidRDefault="0017667F" w:rsidP="0017667F">
            <w:pPr>
              <w:keepNext/>
              <w:numPr>
                <w:ilvl w:val="0"/>
                <w:numId w:val="10"/>
              </w:numPr>
              <w:ind w:left="284" w:hanging="284"/>
              <w:outlineLvl w:val="0"/>
              <w:rPr>
                <w:rFonts w:ascii="Arial" w:hAnsi="Arial" w:cs="Arial"/>
                <w:b/>
                <w:bCs/>
                <w:sz w:val="20"/>
              </w:rPr>
            </w:pPr>
            <w:r w:rsidRPr="00C8571F">
              <w:rPr>
                <w:rFonts w:ascii="Arial" w:hAnsi="Arial" w:cs="Arial"/>
                <w:b/>
                <w:bCs/>
                <w:sz w:val="20"/>
              </w:rPr>
              <w:t xml:space="preserve"> Management of construction process</w:t>
            </w:r>
          </w:p>
        </w:tc>
      </w:tr>
      <w:tr w:rsidR="0017667F" w:rsidRPr="00C8571F" w:rsidTr="00C8571F">
        <w:tblPrEx>
          <w:tblCellMar>
            <w:top w:w="0" w:type="dxa"/>
            <w:bottom w:w="0" w:type="dxa"/>
          </w:tblCellMar>
        </w:tblPrEx>
        <w:trPr>
          <w:gridAfter w:val="1"/>
          <w:wAfter w:w="425" w:type="dxa"/>
          <w:trHeight w:val="2119"/>
        </w:trPr>
        <w:tc>
          <w:tcPr>
            <w:tcW w:w="9464" w:type="dxa"/>
          </w:tcPr>
          <w:p w:rsidR="0017667F" w:rsidRPr="00C8571F" w:rsidRDefault="0017667F" w:rsidP="0017667F">
            <w:pPr>
              <w:jc w:val="both"/>
              <w:rPr>
                <w:rFonts w:ascii="Arial" w:hAnsi="Arial" w:cs="Arial"/>
                <w:sz w:val="20"/>
              </w:rPr>
            </w:pP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Issue the agreed Build Programme and Build Director to Site Managers</w:t>
            </w: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Review the Pre Start Method Statement submitted by the Site Manager</w:t>
            </w: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 xml:space="preserve">Review Site Managers’ Weekly Progress and Status Reports and liaise with other Department Heads to resolve any delays or issues identified  </w:t>
            </w: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 xml:space="preserve">Ensure Site Managers correctly plans and programmes his Sub Contractors and Materials Suppliers, to maintain the Build Programme. </w:t>
            </w:r>
          </w:p>
          <w:p w:rsidR="0017667F" w:rsidRPr="00C8571F" w:rsidRDefault="0017667F" w:rsidP="0017667F">
            <w:pPr>
              <w:numPr>
                <w:ilvl w:val="0"/>
                <w:numId w:val="2"/>
              </w:numPr>
              <w:tabs>
                <w:tab w:val="clear" w:pos="360"/>
              </w:tabs>
              <w:ind w:left="426" w:hanging="426"/>
              <w:jc w:val="both"/>
              <w:rPr>
                <w:rFonts w:ascii="Arial" w:hAnsi="Arial" w:cs="Arial"/>
                <w:sz w:val="20"/>
              </w:rPr>
            </w:pPr>
            <w:r w:rsidRPr="00C8571F">
              <w:rPr>
                <w:rFonts w:ascii="Arial" w:hAnsi="Arial" w:cs="Arial"/>
                <w:sz w:val="20"/>
              </w:rPr>
              <w:t>Ensure that a culture exists within the Site Construction Team, which guarantees that the required quality of the build process is achieved</w:t>
            </w:r>
          </w:p>
          <w:p w:rsidR="0017667F" w:rsidRPr="00C8571F" w:rsidRDefault="0017667F" w:rsidP="0017667F">
            <w:pPr>
              <w:numPr>
                <w:ilvl w:val="0"/>
                <w:numId w:val="2"/>
              </w:numPr>
              <w:tabs>
                <w:tab w:val="clear" w:pos="360"/>
                <w:tab w:val="num" w:pos="426"/>
              </w:tabs>
              <w:ind w:left="426" w:hanging="426"/>
              <w:jc w:val="both"/>
              <w:rPr>
                <w:rFonts w:ascii="Arial" w:hAnsi="Arial" w:cs="Arial"/>
                <w:sz w:val="20"/>
              </w:rPr>
            </w:pPr>
            <w:r w:rsidRPr="00C8571F">
              <w:rPr>
                <w:rFonts w:ascii="Arial" w:hAnsi="Arial" w:cs="Arial"/>
                <w:sz w:val="20"/>
              </w:rPr>
              <w:t>Liaise weekly with the Sales Team to review sales and production progress on a site by site basis</w:t>
            </w:r>
          </w:p>
          <w:p w:rsidR="0017667F" w:rsidRPr="00C8571F" w:rsidRDefault="0017667F" w:rsidP="0017667F">
            <w:pPr>
              <w:numPr>
                <w:ilvl w:val="0"/>
                <w:numId w:val="2"/>
              </w:numPr>
              <w:tabs>
                <w:tab w:val="clear" w:pos="360"/>
                <w:tab w:val="num" w:pos="426"/>
              </w:tabs>
              <w:ind w:left="426" w:hanging="426"/>
              <w:jc w:val="both"/>
              <w:rPr>
                <w:rFonts w:ascii="Arial" w:hAnsi="Arial" w:cs="Arial"/>
                <w:sz w:val="20"/>
              </w:rPr>
            </w:pPr>
            <w:r w:rsidRPr="00C8571F">
              <w:rPr>
                <w:rFonts w:ascii="Arial" w:hAnsi="Arial" w:cs="Arial"/>
                <w:sz w:val="20"/>
              </w:rPr>
              <w:t xml:space="preserve">Undertake regular visits to site, in order to review progress and adherence to Company and HSE Procedures and Requirements </w:t>
            </w:r>
          </w:p>
          <w:p w:rsidR="0017667F" w:rsidRPr="00C8571F" w:rsidRDefault="0017667F" w:rsidP="0017667F">
            <w:pPr>
              <w:numPr>
                <w:ilvl w:val="0"/>
                <w:numId w:val="2"/>
              </w:numPr>
              <w:tabs>
                <w:tab w:val="clear" w:pos="360"/>
                <w:tab w:val="num" w:pos="426"/>
              </w:tabs>
              <w:ind w:left="426" w:hanging="426"/>
              <w:jc w:val="both"/>
              <w:rPr>
                <w:rFonts w:ascii="Arial" w:hAnsi="Arial" w:cs="Arial"/>
                <w:sz w:val="20"/>
              </w:rPr>
            </w:pPr>
            <w:r w:rsidRPr="00C8571F">
              <w:rPr>
                <w:rFonts w:ascii="Arial" w:hAnsi="Arial" w:cs="Arial"/>
                <w:sz w:val="20"/>
              </w:rPr>
              <w:t xml:space="preserve">Review Sub Contract and Materials Suppliers performance, reporting continual problems and defects to the Technical Department  </w:t>
            </w:r>
          </w:p>
          <w:p w:rsidR="0017667F" w:rsidRPr="00C8571F" w:rsidRDefault="0017667F" w:rsidP="0017667F">
            <w:pPr>
              <w:numPr>
                <w:ilvl w:val="0"/>
                <w:numId w:val="3"/>
              </w:numPr>
              <w:tabs>
                <w:tab w:val="clear" w:pos="360"/>
                <w:tab w:val="num" w:pos="426"/>
              </w:tabs>
              <w:ind w:left="426" w:hanging="426"/>
              <w:jc w:val="both"/>
              <w:rPr>
                <w:rFonts w:ascii="Arial" w:hAnsi="Arial" w:cs="Arial"/>
                <w:sz w:val="20"/>
              </w:rPr>
            </w:pPr>
            <w:r w:rsidRPr="00C8571F">
              <w:rPr>
                <w:rFonts w:ascii="Arial" w:hAnsi="Arial" w:cs="Arial"/>
                <w:sz w:val="20"/>
              </w:rPr>
              <w:t>Manage the completion of developments, including ensuring all roads, sewers and public open space adoptions are carried out in a timely manner</w:t>
            </w:r>
          </w:p>
          <w:p w:rsidR="00C8571F" w:rsidRPr="00C8571F" w:rsidRDefault="00C8571F" w:rsidP="00C8571F">
            <w:pPr>
              <w:jc w:val="both"/>
              <w:rPr>
                <w:rFonts w:ascii="Arial" w:hAnsi="Arial" w:cs="Arial"/>
                <w:sz w:val="20"/>
              </w:rPr>
            </w:pPr>
          </w:p>
        </w:tc>
      </w:tr>
      <w:tr w:rsidR="0017667F" w:rsidRPr="00C8571F" w:rsidTr="00C8571F">
        <w:tblPrEx>
          <w:tblCellMar>
            <w:top w:w="0" w:type="dxa"/>
            <w:bottom w:w="0" w:type="dxa"/>
          </w:tblCellMar>
        </w:tblPrEx>
        <w:trPr>
          <w:gridAfter w:val="1"/>
          <w:wAfter w:w="425" w:type="dxa"/>
          <w:trHeight w:val="466"/>
        </w:trPr>
        <w:tc>
          <w:tcPr>
            <w:tcW w:w="9464" w:type="dxa"/>
            <w:shd w:val="pct12" w:color="000000" w:fill="FFFFFF"/>
            <w:vAlign w:val="center"/>
          </w:tcPr>
          <w:p w:rsidR="0017667F" w:rsidRPr="00C8571F" w:rsidRDefault="0017667F" w:rsidP="0017667F">
            <w:pPr>
              <w:keepNext/>
              <w:numPr>
                <w:ilvl w:val="0"/>
                <w:numId w:val="10"/>
              </w:numPr>
              <w:ind w:left="426" w:hanging="426"/>
              <w:outlineLvl w:val="0"/>
              <w:rPr>
                <w:rFonts w:ascii="Arial" w:hAnsi="Arial" w:cs="Arial"/>
                <w:b/>
                <w:sz w:val="20"/>
              </w:rPr>
            </w:pPr>
            <w:r w:rsidRPr="00C8571F">
              <w:rPr>
                <w:rFonts w:ascii="Arial" w:hAnsi="Arial" w:cs="Arial"/>
                <w:b/>
                <w:sz w:val="20"/>
              </w:rPr>
              <w:t>Cost Control</w:t>
            </w:r>
          </w:p>
        </w:tc>
      </w:tr>
      <w:tr w:rsidR="0017667F" w:rsidRPr="00C8571F" w:rsidTr="00C8571F">
        <w:tblPrEx>
          <w:tblCellMar>
            <w:top w:w="0" w:type="dxa"/>
            <w:bottom w:w="0" w:type="dxa"/>
          </w:tblCellMar>
        </w:tblPrEx>
        <w:trPr>
          <w:gridAfter w:val="1"/>
          <w:wAfter w:w="425" w:type="dxa"/>
          <w:trHeight w:val="2471"/>
        </w:trPr>
        <w:tc>
          <w:tcPr>
            <w:tcW w:w="9464" w:type="dxa"/>
          </w:tcPr>
          <w:p w:rsidR="0017667F" w:rsidRPr="00C8571F" w:rsidRDefault="0017667F" w:rsidP="0017667F">
            <w:pPr>
              <w:jc w:val="both"/>
              <w:rPr>
                <w:rFonts w:ascii="Arial" w:hAnsi="Arial" w:cs="Arial"/>
                <w:sz w:val="20"/>
              </w:rPr>
            </w:pPr>
          </w:p>
          <w:p w:rsidR="0017667F" w:rsidRPr="00C8571F" w:rsidRDefault="0017667F" w:rsidP="0017667F">
            <w:pPr>
              <w:numPr>
                <w:ilvl w:val="0"/>
                <w:numId w:val="2"/>
              </w:numPr>
              <w:jc w:val="both"/>
              <w:rPr>
                <w:rFonts w:ascii="Arial" w:hAnsi="Arial" w:cs="Arial"/>
                <w:sz w:val="20"/>
              </w:rPr>
            </w:pPr>
            <w:r w:rsidRPr="00C8571F">
              <w:rPr>
                <w:rFonts w:ascii="Arial" w:hAnsi="Arial" w:cs="Arial"/>
                <w:sz w:val="20"/>
              </w:rPr>
              <w:t>Liaise with the Technical and Design Departments to consider cost effective construction processes at both the design and construction phases</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Investigate exceptional cost excesses and take appropriate remedial action</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 xml:space="preserve">Liaise with Sub Contractors and Suppliers, in conjunction with the Technical Department, to reduce costs, whilst maintaining quality and customer satisfaction levels </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 xml:space="preserve">Review the Build Programme in conjunction with the Sales and Marketing Director, to ensure work in progress levels do not exceed targets established at site start  </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Ensure the Taylor Wimpey Waste Management Policy is enforced</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Regularly review Sub Contractor day work sheets, and other cost issues, with the Technical Team</w:t>
            </w:r>
          </w:p>
          <w:p w:rsidR="0017667F" w:rsidRPr="00C8571F" w:rsidRDefault="0017667F" w:rsidP="0017667F">
            <w:pPr>
              <w:ind w:left="360"/>
              <w:jc w:val="both"/>
              <w:rPr>
                <w:rFonts w:ascii="Arial" w:hAnsi="Arial" w:cs="Arial"/>
                <w:sz w:val="20"/>
              </w:rPr>
            </w:pPr>
          </w:p>
        </w:tc>
      </w:tr>
      <w:tr w:rsidR="0017667F" w:rsidRPr="00C8571F" w:rsidTr="00C8571F">
        <w:tblPrEx>
          <w:tblCellMar>
            <w:top w:w="0" w:type="dxa"/>
            <w:bottom w:w="0" w:type="dxa"/>
          </w:tblCellMar>
        </w:tblPrEx>
        <w:trPr>
          <w:trHeight w:val="575"/>
        </w:trPr>
        <w:tc>
          <w:tcPr>
            <w:tcW w:w="9889" w:type="dxa"/>
            <w:gridSpan w:val="2"/>
            <w:shd w:val="pct12" w:color="000000" w:fill="FFFFFF"/>
            <w:vAlign w:val="center"/>
          </w:tcPr>
          <w:p w:rsidR="0017667F" w:rsidRPr="00C8571F" w:rsidRDefault="0017667F" w:rsidP="0017667F">
            <w:pPr>
              <w:keepNext/>
              <w:numPr>
                <w:ilvl w:val="0"/>
                <w:numId w:val="10"/>
              </w:numPr>
              <w:ind w:left="284" w:hanging="284"/>
              <w:outlineLvl w:val="0"/>
              <w:rPr>
                <w:rFonts w:ascii="Arial" w:hAnsi="Arial" w:cs="Arial"/>
                <w:b/>
                <w:sz w:val="20"/>
              </w:rPr>
            </w:pPr>
            <w:r w:rsidRPr="00C8571F">
              <w:rPr>
                <w:rFonts w:ascii="Arial" w:hAnsi="Arial" w:cs="Arial"/>
                <w:b/>
                <w:sz w:val="20"/>
              </w:rPr>
              <w:t>Customer Care</w:t>
            </w:r>
          </w:p>
        </w:tc>
      </w:tr>
      <w:tr w:rsidR="0017667F" w:rsidRPr="00C8571F" w:rsidTr="00C8571F">
        <w:tblPrEx>
          <w:tblCellMar>
            <w:top w:w="0" w:type="dxa"/>
            <w:bottom w:w="0" w:type="dxa"/>
          </w:tblCellMar>
        </w:tblPrEx>
        <w:trPr>
          <w:trHeight w:val="2071"/>
        </w:trPr>
        <w:tc>
          <w:tcPr>
            <w:tcW w:w="9889" w:type="dxa"/>
            <w:gridSpan w:val="2"/>
          </w:tcPr>
          <w:p w:rsidR="0017667F" w:rsidRPr="00C8571F" w:rsidRDefault="0017667F" w:rsidP="0017667F">
            <w:pPr>
              <w:jc w:val="both"/>
              <w:rPr>
                <w:rFonts w:ascii="Arial" w:hAnsi="Arial" w:cs="Arial"/>
                <w:sz w:val="20"/>
              </w:rPr>
            </w:pPr>
          </w:p>
          <w:p w:rsidR="0017667F" w:rsidRPr="00C8571F" w:rsidRDefault="0017667F" w:rsidP="0017667F">
            <w:pPr>
              <w:numPr>
                <w:ilvl w:val="0"/>
                <w:numId w:val="5"/>
              </w:numPr>
              <w:jc w:val="both"/>
              <w:rPr>
                <w:rFonts w:ascii="Arial" w:hAnsi="Arial" w:cs="Arial"/>
                <w:sz w:val="20"/>
              </w:rPr>
            </w:pPr>
            <w:r w:rsidRPr="00C8571F">
              <w:rPr>
                <w:rFonts w:ascii="Arial" w:hAnsi="Arial" w:cs="Arial"/>
                <w:sz w:val="20"/>
              </w:rPr>
              <w:t xml:space="preserve">Instil within the Site Management Team a culture which encourages continuous improvement </w:t>
            </w:r>
          </w:p>
          <w:p w:rsidR="0017667F" w:rsidRPr="00C8571F" w:rsidRDefault="0017667F" w:rsidP="0017667F">
            <w:pPr>
              <w:numPr>
                <w:ilvl w:val="0"/>
                <w:numId w:val="6"/>
              </w:numPr>
              <w:jc w:val="both"/>
              <w:rPr>
                <w:rFonts w:ascii="Arial" w:hAnsi="Arial" w:cs="Arial"/>
                <w:sz w:val="20"/>
              </w:rPr>
            </w:pPr>
            <w:r w:rsidRPr="00C8571F">
              <w:rPr>
                <w:rFonts w:ascii="Arial" w:hAnsi="Arial" w:cs="Arial"/>
                <w:sz w:val="20"/>
              </w:rPr>
              <w:t>Monitor all Customer Satisfaction Surveys and Summary Reports, to ensure that trends are recognised and the appropriate action taken to improve performance</w:t>
            </w:r>
          </w:p>
          <w:p w:rsidR="0017667F" w:rsidRPr="00C8571F" w:rsidRDefault="0017667F" w:rsidP="0017667F">
            <w:pPr>
              <w:numPr>
                <w:ilvl w:val="0"/>
                <w:numId w:val="6"/>
              </w:numPr>
              <w:jc w:val="both"/>
              <w:rPr>
                <w:rFonts w:ascii="Arial" w:hAnsi="Arial" w:cs="Arial"/>
                <w:sz w:val="20"/>
              </w:rPr>
            </w:pPr>
            <w:r w:rsidRPr="00C8571F">
              <w:rPr>
                <w:rFonts w:ascii="Arial" w:hAnsi="Arial" w:cs="Arial"/>
                <w:sz w:val="20"/>
              </w:rPr>
              <w:t xml:space="preserve">Resolve any disputes that may arise, to the satisfaction of the purchaser, whilst maintaining financial and commercial controls </w:t>
            </w:r>
          </w:p>
          <w:p w:rsidR="0017667F" w:rsidRPr="00C8571F" w:rsidRDefault="0017667F" w:rsidP="0017667F">
            <w:pPr>
              <w:numPr>
                <w:ilvl w:val="0"/>
                <w:numId w:val="6"/>
              </w:numPr>
              <w:jc w:val="both"/>
              <w:rPr>
                <w:rFonts w:ascii="Arial" w:hAnsi="Arial" w:cs="Arial"/>
                <w:sz w:val="20"/>
              </w:rPr>
            </w:pPr>
            <w:r w:rsidRPr="00C8571F">
              <w:rPr>
                <w:rFonts w:ascii="Arial" w:hAnsi="Arial" w:cs="Arial"/>
                <w:sz w:val="20"/>
              </w:rPr>
              <w:t xml:space="preserve">Monitor the application of the Customer Care Procedures, in order to ensure customer satisfaction  </w:t>
            </w:r>
          </w:p>
          <w:p w:rsidR="0017667F" w:rsidRPr="00C8571F" w:rsidRDefault="0017667F" w:rsidP="0017667F">
            <w:pPr>
              <w:ind w:left="360"/>
              <w:jc w:val="both"/>
              <w:rPr>
                <w:rFonts w:ascii="Arial" w:hAnsi="Arial" w:cs="Arial"/>
                <w:sz w:val="20"/>
              </w:rPr>
            </w:pPr>
          </w:p>
        </w:tc>
      </w:tr>
      <w:tr w:rsidR="0017667F" w:rsidRPr="00C8571F" w:rsidTr="00C8571F">
        <w:tblPrEx>
          <w:tblCellMar>
            <w:top w:w="0" w:type="dxa"/>
            <w:bottom w:w="0" w:type="dxa"/>
          </w:tblCellMar>
        </w:tblPrEx>
        <w:trPr>
          <w:trHeight w:val="603"/>
        </w:trPr>
        <w:tc>
          <w:tcPr>
            <w:tcW w:w="9889" w:type="dxa"/>
            <w:gridSpan w:val="2"/>
            <w:shd w:val="pct12" w:color="000000" w:fill="FFFFFF"/>
            <w:vAlign w:val="center"/>
          </w:tcPr>
          <w:p w:rsidR="0017667F" w:rsidRPr="00C8571F" w:rsidRDefault="0017667F" w:rsidP="0017667F">
            <w:pPr>
              <w:keepNext/>
              <w:numPr>
                <w:ilvl w:val="0"/>
                <w:numId w:val="10"/>
              </w:numPr>
              <w:ind w:left="284" w:hanging="284"/>
              <w:outlineLvl w:val="0"/>
              <w:rPr>
                <w:rFonts w:ascii="Arial" w:hAnsi="Arial" w:cs="Arial"/>
                <w:b/>
                <w:sz w:val="20"/>
              </w:rPr>
            </w:pPr>
            <w:r w:rsidRPr="00C8571F">
              <w:rPr>
                <w:rFonts w:ascii="Arial" w:hAnsi="Arial" w:cs="Arial"/>
                <w:b/>
                <w:sz w:val="20"/>
              </w:rPr>
              <w:t>Personnel</w:t>
            </w:r>
          </w:p>
        </w:tc>
      </w:tr>
      <w:tr w:rsidR="0017667F" w:rsidRPr="00C8571F" w:rsidTr="00C8571F">
        <w:tblPrEx>
          <w:tblCellMar>
            <w:top w:w="0" w:type="dxa"/>
            <w:bottom w:w="0" w:type="dxa"/>
          </w:tblCellMar>
        </w:tblPrEx>
        <w:trPr>
          <w:trHeight w:val="1600"/>
        </w:trPr>
        <w:tc>
          <w:tcPr>
            <w:tcW w:w="9889" w:type="dxa"/>
            <w:gridSpan w:val="2"/>
          </w:tcPr>
          <w:p w:rsidR="0017667F" w:rsidRPr="00C8571F" w:rsidRDefault="0017667F" w:rsidP="0017667F">
            <w:pPr>
              <w:jc w:val="both"/>
              <w:rPr>
                <w:rFonts w:ascii="Arial" w:hAnsi="Arial" w:cs="Arial"/>
                <w:sz w:val="20"/>
              </w:rPr>
            </w:pPr>
          </w:p>
          <w:p w:rsidR="0017667F" w:rsidRPr="00C8571F" w:rsidRDefault="0017667F" w:rsidP="0017667F">
            <w:pPr>
              <w:numPr>
                <w:ilvl w:val="0"/>
                <w:numId w:val="7"/>
              </w:numPr>
              <w:jc w:val="both"/>
              <w:rPr>
                <w:rFonts w:ascii="Arial" w:hAnsi="Arial" w:cs="Arial"/>
                <w:sz w:val="20"/>
              </w:rPr>
            </w:pPr>
            <w:r w:rsidRPr="00C8571F">
              <w:rPr>
                <w:rFonts w:ascii="Arial" w:hAnsi="Arial" w:cs="Arial"/>
                <w:sz w:val="20"/>
              </w:rPr>
              <w:t>Undertake annual Performance Appraisals</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Identify and action appropriate training and development opportunities, to develop skills and knowledge of Staff</w:t>
            </w:r>
          </w:p>
          <w:p w:rsidR="0017667F" w:rsidRPr="00C8571F" w:rsidRDefault="0017667F" w:rsidP="0017667F">
            <w:pPr>
              <w:numPr>
                <w:ilvl w:val="0"/>
                <w:numId w:val="7"/>
              </w:numPr>
              <w:jc w:val="both"/>
              <w:rPr>
                <w:rFonts w:ascii="Arial" w:hAnsi="Arial" w:cs="Arial"/>
                <w:sz w:val="20"/>
              </w:rPr>
            </w:pPr>
            <w:r w:rsidRPr="00C8571F">
              <w:rPr>
                <w:rFonts w:ascii="Arial" w:hAnsi="Arial" w:cs="Arial"/>
                <w:sz w:val="20"/>
              </w:rPr>
              <w:t>Manage performance and disciplinary issues in accordance with Company Procedures</w:t>
            </w:r>
          </w:p>
          <w:p w:rsidR="0017667F" w:rsidRPr="00C8571F" w:rsidRDefault="0017667F" w:rsidP="0017667F">
            <w:pPr>
              <w:numPr>
                <w:ilvl w:val="0"/>
                <w:numId w:val="7"/>
              </w:numPr>
              <w:jc w:val="both"/>
              <w:rPr>
                <w:rFonts w:ascii="Arial" w:hAnsi="Arial" w:cs="Arial"/>
                <w:sz w:val="20"/>
              </w:rPr>
            </w:pPr>
            <w:r w:rsidRPr="00C8571F">
              <w:rPr>
                <w:rFonts w:ascii="Arial" w:hAnsi="Arial" w:cs="Arial"/>
                <w:sz w:val="20"/>
              </w:rPr>
              <w:t>Plan and manage manning levels, including the recruitment of appropriately qualified and experienced personnel</w:t>
            </w:r>
          </w:p>
          <w:p w:rsidR="0017667F" w:rsidRPr="00C8571F" w:rsidRDefault="0017667F" w:rsidP="0017667F">
            <w:pPr>
              <w:jc w:val="both"/>
              <w:rPr>
                <w:rFonts w:ascii="Arial" w:hAnsi="Arial" w:cs="Arial"/>
                <w:sz w:val="20"/>
              </w:rPr>
            </w:pPr>
          </w:p>
        </w:tc>
      </w:tr>
    </w:tbl>
    <w:p w:rsidR="0017667F" w:rsidRPr="00C8571F" w:rsidRDefault="0017667F" w:rsidP="0017667F">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7667F" w:rsidRPr="00C8571F" w:rsidTr="00C779CB">
        <w:tblPrEx>
          <w:tblCellMar>
            <w:top w:w="0" w:type="dxa"/>
            <w:bottom w:w="0" w:type="dxa"/>
          </w:tblCellMar>
        </w:tblPrEx>
        <w:trPr>
          <w:trHeight w:val="616"/>
        </w:trPr>
        <w:tc>
          <w:tcPr>
            <w:tcW w:w="9889" w:type="dxa"/>
            <w:shd w:val="pct12" w:color="000000" w:fill="FFFFFF"/>
            <w:vAlign w:val="center"/>
          </w:tcPr>
          <w:p w:rsidR="0017667F" w:rsidRPr="00C8571F" w:rsidRDefault="0017667F" w:rsidP="0017667F">
            <w:pPr>
              <w:keepNext/>
              <w:outlineLvl w:val="0"/>
              <w:rPr>
                <w:rFonts w:ascii="Arial" w:hAnsi="Arial" w:cs="Arial"/>
                <w:b/>
                <w:sz w:val="20"/>
              </w:rPr>
            </w:pPr>
            <w:r w:rsidRPr="00C8571F">
              <w:rPr>
                <w:rFonts w:ascii="Arial" w:hAnsi="Arial" w:cs="Arial"/>
                <w:b/>
                <w:sz w:val="20"/>
              </w:rPr>
              <w:lastRenderedPageBreak/>
              <w:t>Key Competences</w:t>
            </w:r>
          </w:p>
        </w:tc>
      </w:tr>
      <w:tr w:rsidR="0017667F" w:rsidRPr="00C8571F" w:rsidTr="00C779CB">
        <w:tblPrEx>
          <w:tblCellMar>
            <w:top w:w="0" w:type="dxa"/>
            <w:bottom w:w="0" w:type="dxa"/>
          </w:tblCellMar>
        </w:tblPrEx>
        <w:trPr>
          <w:trHeight w:val="2471"/>
        </w:trPr>
        <w:tc>
          <w:tcPr>
            <w:tcW w:w="9889" w:type="dxa"/>
          </w:tcPr>
          <w:p w:rsidR="0017667F" w:rsidRPr="00C8571F" w:rsidRDefault="0017667F" w:rsidP="0017667F">
            <w:pPr>
              <w:jc w:val="both"/>
              <w:rPr>
                <w:rFonts w:ascii="Arial" w:hAnsi="Arial" w:cs="Arial"/>
                <w:sz w:val="20"/>
              </w:rPr>
            </w:pP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Customer Focus</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Decision making</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Innovativeness</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Leadership</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Planning</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Tenacity</w:t>
            </w:r>
          </w:p>
          <w:p w:rsidR="0017667F" w:rsidRPr="00C8571F" w:rsidRDefault="0017667F" w:rsidP="0017667F">
            <w:pPr>
              <w:numPr>
                <w:ilvl w:val="0"/>
                <w:numId w:val="4"/>
              </w:numPr>
              <w:jc w:val="both"/>
              <w:rPr>
                <w:rFonts w:ascii="Arial" w:hAnsi="Arial" w:cs="Arial"/>
                <w:sz w:val="20"/>
              </w:rPr>
            </w:pPr>
            <w:r w:rsidRPr="00C8571F">
              <w:rPr>
                <w:rFonts w:ascii="Arial" w:hAnsi="Arial" w:cs="Arial"/>
                <w:sz w:val="20"/>
              </w:rPr>
              <w:t>Delegation</w:t>
            </w:r>
          </w:p>
        </w:tc>
      </w:tr>
    </w:tbl>
    <w:p w:rsidR="0017667F" w:rsidRPr="00C8571F" w:rsidRDefault="0017667F" w:rsidP="0017667F">
      <w:pPr>
        <w:rPr>
          <w:rFonts w:ascii="Arial" w:hAnsi="Arial" w:cs="Arial"/>
          <w:sz w:val="20"/>
        </w:rPr>
      </w:pPr>
    </w:p>
    <w:p w:rsidR="00683598" w:rsidRPr="00C8571F" w:rsidRDefault="00683598">
      <w:pPr>
        <w:rPr>
          <w:rFonts w:ascii="Arial" w:hAnsi="Arial" w:cs="Arial"/>
          <w:sz w:val="20"/>
        </w:rPr>
      </w:pPr>
    </w:p>
    <w:p w:rsidR="00C8571F" w:rsidRPr="00C8571F" w:rsidRDefault="00C8571F" w:rsidP="00DA7B64">
      <w:pPr>
        <w:jc w:val="both"/>
        <w:rPr>
          <w:rFonts w:ascii="Arial" w:hAnsi="Arial" w:cs="Arial"/>
          <w:sz w:val="20"/>
        </w:rPr>
      </w:pPr>
      <w:r w:rsidRPr="00C8571F">
        <w:rPr>
          <w:rFonts w:ascii="Arial" w:hAnsi="Arial" w:cs="Arial"/>
          <w:sz w:val="20"/>
        </w:rPr>
        <w:t>If you would like to be considered for this position</w:t>
      </w:r>
      <w:r>
        <w:rPr>
          <w:rFonts w:ascii="Arial" w:hAnsi="Arial" w:cs="Arial"/>
          <w:sz w:val="20"/>
        </w:rPr>
        <w:t>,</w:t>
      </w:r>
      <w:r w:rsidRPr="00C8571F">
        <w:rPr>
          <w:rFonts w:ascii="Arial" w:hAnsi="Arial" w:cs="Arial"/>
          <w:sz w:val="20"/>
        </w:rPr>
        <w:t xml:space="preserve"> please send your CV to </w:t>
      </w:r>
      <w:r>
        <w:rPr>
          <w:rFonts w:ascii="Arial" w:hAnsi="Arial" w:cs="Arial"/>
          <w:sz w:val="20"/>
        </w:rPr>
        <w:t xml:space="preserve">Fiona Anderson, </w:t>
      </w:r>
      <w:r w:rsidRPr="00C8571F">
        <w:rPr>
          <w:rFonts w:ascii="Arial" w:hAnsi="Arial" w:cs="Arial"/>
          <w:sz w:val="20"/>
        </w:rPr>
        <w:t>(</w:t>
      </w:r>
      <w:hyperlink r:id="rId8" w:history="1">
        <w:r w:rsidRPr="004E080D">
          <w:rPr>
            <w:rStyle w:val="Hyperlink"/>
            <w:rFonts w:ascii="Arial" w:hAnsi="Arial" w:cs="Arial"/>
            <w:sz w:val="20"/>
          </w:rPr>
          <w:t>fiona.anderson@taylorwimpey.com</w:t>
        </w:r>
      </w:hyperlink>
      <w:r w:rsidRPr="00C8571F">
        <w:rPr>
          <w:rFonts w:ascii="Arial" w:hAnsi="Arial" w:cs="Arial"/>
          <w:sz w:val="20"/>
        </w:rPr>
        <w:t>)</w:t>
      </w:r>
      <w:r>
        <w:rPr>
          <w:rFonts w:ascii="Arial" w:hAnsi="Arial" w:cs="Arial"/>
          <w:sz w:val="20"/>
        </w:rPr>
        <w:t xml:space="preserve"> </w:t>
      </w:r>
      <w:r w:rsidRPr="00C8571F">
        <w:rPr>
          <w:rFonts w:ascii="Arial" w:hAnsi="Arial" w:cs="Arial"/>
          <w:sz w:val="20"/>
        </w:rPr>
        <w:t xml:space="preserve">by </w:t>
      </w:r>
      <w:r>
        <w:rPr>
          <w:rFonts w:ascii="Arial" w:hAnsi="Arial" w:cs="Arial"/>
          <w:sz w:val="20"/>
        </w:rPr>
        <w:t>Thursday 30 April 2015</w:t>
      </w:r>
    </w:p>
    <w:p w:rsidR="00C8571F" w:rsidRPr="00C8571F" w:rsidRDefault="00C8571F">
      <w:pPr>
        <w:rPr>
          <w:rFonts w:ascii="Arial" w:hAnsi="Arial" w:cs="Arial"/>
          <w:sz w:val="20"/>
        </w:rPr>
      </w:pPr>
      <w:bookmarkStart w:id="0" w:name="_GoBack"/>
      <w:bookmarkEnd w:id="0"/>
    </w:p>
    <w:sectPr w:rsidR="00C8571F" w:rsidRPr="00C8571F">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DD" w:rsidRDefault="006B12DD">
      <w:r>
        <w:separator/>
      </w:r>
    </w:p>
  </w:endnote>
  <w:endnote w:type="continuationSeparator" w:id="0">
    <w:p w:rsidR="006B12DD" w:rsidRDefault="006B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DD" w:rsidRDefault="006B12DD">
      <w:r>
        <w:separator/>
      </w:r>
    </w:p>
  </w:footnote>
  <w:footnote w:type="continuationSeparator" w:id="0">
    <w:p w:rsidR="006B12DD" w:rsidRDefault="006B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E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C32780E"/>
    <w:multiLevelType w:val="hybridMultilevel"/>
    <w:tmpl w:val="CFE05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144F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5">
    <w:nsid w:val="50807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BAD41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6F96F90"/>
    <w:multiLevelType w:val="hybridMultilevel"/>
    <w:tmpl w:val="29DEA0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A030E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B054A3A"/>
    <w:multiLevelType w:val="hybridMultilevel"/>
    <w:tmpl w:val="A32A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0"/>
  </w:num>
  <w:num w:numId="8">
    <w:abstractNumId w:val="7"/>
  </w:num>
  <w:num w:numId="9">
    <w:abstractNumId w:val="9"/>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46"/>
    <w:rsid w:val="00036417"/>
    <w:rsid w:val="0017667F"/>
    <w:rsid w:val="0017715D"/>
    <w:rsid w:val="003138C0"/>
    <w:rsid w:val="00453788"/>
    <w:rsid w:val="00683598"/>
    <w:rsid w:val="00686453"/>
    <w:rsid w:val="006B12DD"/>
    <w:rsid w:val="00BD3E25"/>
    <w:rsid w:val="00C779CB"/>
    <w:rsid w:val="00C8571F"/>
    <w:rsid w:val="00DA7B64"/>
    <w:rsid w:val="00DC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C85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sid w:val="00C8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ona.anderson@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5326</CharactersWithSpaces>
  <SharedDoc>false</SharedDoc>
  <HLinks>
    <vt:vector size="6" baseType="variant">
      <vt:variant>
        <vt:i4>4390953</vt:i4>
      </vt:variant>
      <vt:variant>
        <vt:i4>0</vt:i4>
      </vt:variant>
      <vt:variant>
        <vt:i4>0</vt:i4>
      </vt:variant>
      <vt:variant>
        <vt:i4>5</vt:i4>
      </vt:variant>
      <vt:variant>
        <vt:lpwstr>mailto:fiona.anderson@taylorwimpey.com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2004-04-01T07:57:00Z</cp:lastPrinted>
  <dcterms:created xsi:type="dcterms:W3CDTF">2015-04-15T07:57:00Z</dcterms:created>
  <dcterms:modified xsi:type="dcterms:W3CDTF">2015-04-15T07:57:00Z</dcterms:modified>
</cp:coreProperties>
</file>