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C4" w:rsidRDefault="009D32CA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-224790</wp:posOffset>
            </wp:positionV>
            <wp:extent cx="1171575" cy="733425"/>
            <wp:effectExtent l="0" t="0" r="9525" b="9525"/>
            <wp:wrapNone/>
            <wp:docPr id="3" name="Picture 3" descr="C:\Users\lynette.jack@taylorwimpey.com\Desktop\TW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ynette.jack@taylorwimpey.com\Desktop\TW_LOGO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BC4" w:rsidRDefault="00072BC4"/>
    <w:p w:rsidR="00072BC4" w:rsidRDefault="00072B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229"/>
      </w:tblGrid>
      <w:tr w:rsidR="007C569A" w:rsidRPr="009924FF" w:rsidTr="00072BC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660" w:type="dxa"/>
            <w:shd w:val="pct12" w:color="000000" w:fill="FFFFFF"/>
            <w:vAlign w:val="center"/>
          </w:tcPr>
          <w:p w:rsidR="007C569A" w:rsidRPr="009924FF" w:rsidRDefault="007C569A" w:rsidP="00072BC4">
            <w:pPr>
              <w:keepNext/>
              <w:outlineLvl w:val="6"/>
              <w:rPr>
                <w:rFonts w:ascii="Calibri" w:hAnsi="Calibri"/>
                <w:b/>
                <w:sz w:val="22"/>
                <w:szCs w:val="22"/>
              </w:rPr>
            </w:pPr>
            <w:r w:rsidRPr="009924FF">
              <w:rPr>
                <w:rFonts w:ascii="Calibri" w:hAnsi="Calibri"/>
                <w:b/>
                <w:sz w:val="22"/>
                <w:szCs w:val="22"/>
              </w:rPr>
              <w:t>Job Title:</w:t>
            </w:r>
          </w:p>
        </w:tc>
        <w:tc>
          <w:tcPr>
            <w:tcW w:w="7229" w:type="dxa"/>
            <w:vAlign w:val="center"/>
          </w:tcPr>
          <w:p w:rsidR="007C569A" w:rsidRPr="009924FF" w:rsidRDefault="007C569A" w:rsidP="00072BC4">
            <w:pPr>
              <w:keepNext/>
              <w:outlineLvl w:val="6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924FF">
              <w:rPr>
                <w:rFonts w:ascii="Calibri" w:hAnsi="Calibri"/>
                <w:b/>
                <w:bCs/>
                <w:sz w:val="22"/>
                <w:szCs w:val="22"/>
              </w:rPr>
              <w:t>Quantity Surveyor</w:t>
            </w:r>
          </w:p>
        </w:tc>
      </w:tr>
      <w:tr w:rsidR="007C569A" w:rsidRPr="009924FF" w:rsidTr="00072BC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660" w:type="dxa"/>
            <w:shd w:val="pct12" w:color="000000" w:fill="FFFFFF"/>
            <w:vAlign w:val="center"/>
          </w:tcPr>
          <w:p w:rsidR="007C569A" w:rsidRPr="009924FF" w:rsidRDefault="007C569A" w:rsidP="00072BC4">
            <w:pPr>
              <w:rPr>
                <w:rFonts w:ascii="Calibri" w:hAnsi="Calibri"/>
                <w:b/>
                <w:sz w:val="22"/>
                <w:szCs w:val="22"/>
              </w:rPr>
            </w:pPr>
            <w:r w:rsidRPr="009924FF">
              <w:rPr>
                <w:rFonts w:ascii="Calibri" w:hAnsi="Calibri"/>
                <w:b/>
                <w:sz w:val="22"/>
                <w:szCs w:val="22"/>
              </w:rPr>
              <w:t>Business:</w:t>
            </w:r>
          </w:p>
        </w:tc>
        <w:tc>
          <w:tcPr>
            <w:tcW w:w="7229" w:type="dxa"/>
            <w:vAlign w:val="center"/>
          </w:tcPr>
          <w:p w:rsidR="007C569A" w:rsidRPr="009924FF" w:rsidRDefault="00072BC4" w:rsidP="00072BC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924FF">
              <w:rPr>
                <w:rFonts w:ascii="Calibri" w:hAnsi="Calibri"/>
                <w:b/>
                <w:bCs/>
                <w:sz w:val="22"/>
                <w:szCs w:val="22"/>
              </w:rPr>
              <w:t>Taylor Wimpey West Midlands</w:t>
            </w:r>
          </w:p>
        </w:tc>
      </w:tr>
      <w:tr w:rsidR="007C569A" w:rsidRPr="009924FF" w:rsidTr="00072BC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660" w:type="dxa"/>
            <w:shd w:val="pct12" w:color="000000" w:fill="FFFFFF"/>
            <w:vAlign w:val="center"/>
          </w:tcPr>
          <w:p w:rsidR="007C569A" w:rsidRPr="009924FF" w:rsidRDefault="007C569A" w:rsidP="00072BC4">
            <w:pPr>
              <w:rPr>
                <w:rFonts w:ascii="Calibri" w:hAnsi="Calibri"/>
                <w:b/>
                <w:sz w:val="22"/>
                <w:szCs w:val="22"/>
              </w:rPr>
            </w:pPr>
            <w:r w:rsidRPr="009924FF">
              <w:rPr>
                <w:rFonts w:ascii="Calibri" w:hAnsi="Calibri"/>
                <w:b/>
                <w:sz w:val="22"/>
                <w:szCs w:val="22"/>
              </w:rPr>
              <w:t>Reports to:</w:t>
            </w:r>
          </w:p>
        </w:tc>
        <w:tc>
          <w:tcPr>
            <w:tcW w:w="7229" w:type="dxa"/>
            <w:vAlign w:val="center"/>
          </w:tcPr>
          <w:p w:rsidR="007C569A" w:rsidRPr="009924FF" w:rsidRDefault="007C569A" w:rsidP="00072BC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924FF">
              <w:rPr>
                <w:rFonts w:ascii="Calibri" w:hAnsi="Calibri"/>
                <w:b/>
                <w:bCs/>
                <w:sz w:val="22"/>
                <w:szCs w:val="22"/>
              </w:rPr>
              <w:t>Commercial Director</w:t>
            </w:r>
          </w:p>
        </w:tc>
      </w:tr>
      <w:tr w:rsidR="00072BC4" w:rsidRPr="009924FF" w:rsidTr="009924F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660" w:type="dxa"/>
            <w:shd w:val="pct12" w:color="000000" w:fill="FFFFFF"/>
            <w:vAlign w:val="center"/>
          </w:tcPr>
          <w:p w:rsidR="00072BC4" w:rsidRPr="009924FF" w:rsidRDefault="00072BC4" w:rsidP="00072BC4">
            <w:pPr>
              <w:rPr>
                <w:rFonts w:ascii="Calibri" w:hAnsi="Calibri"/>
                <w:b/>
                <w:sz w:val="22"/>
                <w:szCs w:val="22"/>
              </w:rPr>
            </w:pPr>
            <w:r w:rsidRPr="009924FF">
              <w:rPr>
                <w:rFonts w:ascii="Calibri" w:hAnsi="Calibri"/>
                <w:b/>
                <w:sz w:val="22"/>
                <w:szCs w:val="22"/>
              </w:rPr>
              <w:t>Direct Reports:</w:t>
            </w:r>
          </w:p>
        </w:tc>
        <w:tc>
          <w:tcPr>
            <w:tcW w:w="7229" w:type="dxa"/>
            <w:vAlign w:val="center"/>
          </w:tcPr>
          <w:p w:rsidR="00072BC4" w:rsidRPr="009924FF" w:rsidRDefault="00072BC4" w:rsidP="00072BC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924FF">
              <w:rPr>
                <w:rFonts w:ascii="Calibri" w:hAnsi="Calibri"/>
                <w:b/>
                <w:bCs/>
                <w:sz w:val="22"/>
                <w:szCs w:val="22"/>
              </w:rPr>
              <w:t>Senior Qu</w:t>
            </w:r>
            <w:bookmarkStart w:id="0" w:name="_GoBack"/>
            <w:bookmarkEnd w:id="0"/>
            <w:r w:rsidRPr="009924FF">
              <w:rPr>
                <w:rFonts w:ascii="Calibri" w:hAnsi="Calibri"/>
                <w:b/>
                <w:bCs/>
                <w:sz w:val="22"/>
                <w:szCs w:val="22"/>
              </w:rPr>
              <w:t>antity Surveyor</w:t>
            </w:r>
          </w:p>
        </w:tc>
      </w:tr>
      <w:tr w:rsidR="00072BC4" w:rsidRPr="009924FF" w:rsidTr="009924F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660" w:type="dxa"/>
            <w:shd w:val="pct12" w:color="000000" w:fill="FFFFFF"/>
            <w:vAlign w:val="center"/>
          </w:tcPr>
          <w:p w:rsidR="00072BC4" w:rsidRPr="009924FF" w:rsidRDefault="00072BC4" w:rsidP="00072BC4">
            <w:pPr>
              <w:rPr>
                <w:rFonts w:ascii="Calibri" w:hAnsi="Calibri"/>
                <w:b/>
                <w:sz w:val="22"/>
                <w:szCs w:val="22"/>
              </w:rPr>
            </w:pPr>
            <w:r w:rsidRPr="009924FF">
              <w:rPr>
                <w:rFonts w:ascii="Calibri" w:hAnsi="Calibri"/>
                <w:b/>
                <w:sz w:val="22"/>
                <w:szCs w:val="22"/>
              </w:rPr>
              <w:t>Main Interfaces</w:t>
            </w:r>
          </w:p>
        </w:tc>
        <w:tc>
          <w:tcPr>
            <w:tcW w:w="7229" w:type="dxa"/>
            <w:vAlign w:val="center"/>
          </w:tcPr>
          <w:p w:rsidR="00072BC4" w:rsidRPr="009924FF" w:rsidRDefault="00072BC4" w:rsidP="00072BC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924FF">
              <w:rPr>
                <w:rFonts w:ascii="Calibri" w:hAnsi="Calibri"/>
                <w:b/>
                <w:sz w:val="22"/>
                <w:szCs w:val="22"/>
              </w:rPr>
              <w:t>All Staff and external Consultants/Contractors involved in site development.</w:t>
            </w:r>
          </w:p>
        </w:tc>
      </w:tr>
    </w:tbl>
    <w:p w:rsidR="007C569A" w:rsidRPr="009924FF" w:rsidRDefault="007C569A" w:rsidP="007C569A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7C569A" w:rsidRPr="009924FF" w:rsidTr="00072BC4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9889" w:type="dxa"/>
            <w:shd w:val="pct12" w:color="000000" w:fill="FFFFFF"/>
            <w:vAlign w:val="center"/>
          </w:tcPr>
          <w:p w:rsidR="007C569A" w:rsidRPr="009924FF" w:rsidRDefault="007C569A" w:rsidP="00072BC4">
            <w:pPr>
              <w:keepNext/>
              <w:jc w:val="center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9924FF">
              <w:rPr>
                <w:rFonts w:ascii="Calibri" w:hAnsi="Calibri"/>
                <w:b/>
                <w:sz w:val="22"/>
                <w:szCs w:val="22"/>
              </w:rPr>
              <w:t>Overall Purpose</w:t>
            </w:r>
          </w:p>
        </w:tc>
      </w:tr>
      <w:tr w:rsidR="007C569A" w:rsidRPr="009924FF" w:rsidTr="00C42E1F">
        <w:tblPrEx>
          <w:tblCellMar>
            <w:top w:w="0" w:type="dxa"/>
            <w:bottom w:w="0" w:type="dxa"/>
          </w:tblCellMar>
        </w:tblPrEx>
        <w:tc>
          <w:tcPr>
            <w:tcW w:w="9889" w:type="dxa"/>
          </w:tcPr>
          <w:p w:rsidR="00072BC4" w:rsidRPr="009924FF" w:rsidRDefault="00072BC4" w:rsidP="007C569A">
            <w:pPr>
              <w:rPr>
                <w:rFonts w:ascii="Calibri" w:hAnsi="Calibri"/>
                <w:sz w:val="22"/>
                <w:szCs w:val="22"/>
              </w:rPr>
            </w:pPr>
          </w:p>
          <w:p w:rsidR="007C569A" w:rsidRPr="009924FF" w:rsidRDefault="007C569A" w:rsidP="007C569A">
            <w:pPr>
              <w:rPr>
                <w:rFonts w:ascii="Calibri" w:hAnsi="Calibri"/>
                <w:sz w:val="22"/>
                <w:szCs w:val="22"/>
              </w:rPr>
            </w:pPr>
            <w:r w:rsidRPr="009924FF">
              <w:rPr>
                <w:rFonts w:ascii="Calibri" w:hAnsi="Calibri"/>
                <w:sz w:val="22"/>
                <w:szCs w:val="22"/>
              </w:rPr>
              <w:t xml:space="preserve">Assist in the commercial function and reporting for projects within the </w:t>
            </w:r>
            <w:r w:rsidR="00072BC4" w:rsidRPr="009924FF">
              <w:rPr>
                <w:rFonts w:ascii="Calibri" w:hAnsi="Calibri"/>
                <w:sz w:val="22"/>
                <w:szCs w:val="22"/>
              </w:rPr>
              <w:t>Region, i</w:t>
            </w:r>
            <w:r w:rsidRPr="009924FF">
              <w:rPr>
                <w:rFonts w:ascii="Calibri" w:hAnsi="Calibri"/>
                <w:sz w:val="22"/>
                <w:szCs w:val="22"/>
              </w:rPr>
              <w:t xml:space="preserve">ncluding </w:t>
            </w:r>
            <w:r w:rsidR="00072BC4" w:rsidRPr="009924FF">
              <w:rPr>
                <w:rFonts w:ascii="Calibri" w:hAnsi="Calibri"/>
                <w:sz w:val="22"/>
                <w:szCs w:val="22"/>
              </w:rPr>
              <w:t>Sub Contract</w:t>
            </w:r>
            <w:r w:rsidRPr="009924FF">
              <w:rPr>
                <w:rFonts w:ascii="Calibri" w:hAnsi="Calibri"/>
                <w:sz w:val="22"/>
                <w:szCs w:val="22"/>
              </w:rPr>
              <w:t xml:space="preserve"> procurement, payments, benchmarking, rebates, WIP, cash</w:t>
            </w:r>
            <w:r w:rsidR="00072BC4" w:rsidRPr="009924F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924FF">
              <w:rPr>
                <w:rFonts w:ascii="Calibri" w:hAnsi="Calibri"/>
                <w:sz w:val="22"/>
                <w:szCs w:val="22"/>
              </w:rPr>
              <w:t xml:space="preserve">flows and valuations. </w:t>
            </w:r>
          </w:p>
          <w:p w:rsidR="007C569A" w:rsidRPr="009924FF" w:rsidRDefault="007C569A" w:rsidP="007C569A">
            <w:pPr>
              <w:rPr>
                <w:rFonts w:ascii="Calibri" w:hAnsi="Calibri"/>
                <w:sz w:val="22"/>
                <w:szCs w:val="22"/>
              </w:rPr>
            </w:pPr>
          </w:p>
          <w:p w:rsidR="007C569A" w:rsidRPr="009924FF" w:rsidRDefault="007C569A" w:rsidP="007C569A">
            <w:pPr>
              <w:rPr>
                <w:rFonts w:ascii="Calibri" w:hAnsi="Calibri"/>
                <w:sz w:val="22"/>
                <w:szCs w:val="22"/>
              </w:rPr>
            </w:pPr>
            <w:r w:rsidRPr="009924FF">
              <w:rPr>
                <w:rFonts w:ascii="Calibri" w:hAnsi="Calibri"/>
                <w:sz w:val="22"/>
                <w:szCs w:val="22"/>
              </w:rPr>
              <w:t>Monitor and report build costs periodically</w:t>
            </w:r>
            <w:r w:rsidR="00072BC4" w:rsidRPr="009924FF">
              <w:rPr>
                <w:rFonts w:ascii="Calibri" w:hAnsi="Calibri"/>
                <w:sz w:val="22"/>
                <w:szCs w:val="22"/>
              </w:rPr>
              <w:t>,</w:t>
            </w:r>
            <w:r w:rsidRPr="009924FF">
              <w:rPr>
                <w:rFonts w:ascii="Calibri" w:hAnsi="Calibri"/>
                <w:sz w:val="22"/>
                <w:szCs w:val="22"/>
              </w:rPr>
              <w:t xml:space="preserve"> reporting any savings and excesses</w:t>
            </w:r>
            <w:r w:rsidR="00072BC4" w:rsidRPr="009924FF">
              <w:rPr>
                <w:rFonts w:ascii="Calibri" w:hAnsi="Calibri"/>
                <w:sz w:val="22"/>
                <w:szCs w:val="22"/>
              </w:rPr>
              <w:t>.</w:t>
            </w:r>
          </w:p>
          <w:p w:rsidR="007C569A" w:rsidRPr="009924FF" w:rsidRDefault="007C569A" w:rsidP="007C569A">
            <w:pPr>
              <w:rPr>
                <w:rFonts w:ascii="Calibri" w:hAnsi="Calibri"/>
                <w:sz w:val="22"/>
                <w:szCs w:val="22"/>
              </w:rPr>
            </w:pPr>
          </w:p>
          <w:p w:rsidR="007C569A" w:rsidRPr="009924FF" w:rsidRDefault="007C569A" w:rsidP="007C569A">
            <w:pPr>
              <w:rPr>
                <w:rFonts w:ascii="Calibri" w:hAnsi="Calibri"/>
                <w:sz w:val="22"/>
                <w:szCs w:val="22"/>
              </w:rPr>
            </w:pPr>
            <w:r w:rsidRPr="009924FF">
              <w:rPr>
                <w:rFonts w:ascii="Calibri" w:hAnsi="Calibri"/>
                <w:sz w:val="22"/>
                <w:szCs w:val="22"/>
              </w:rPr>
              <w:t>Assist in the monitoring and evaluation of Contractor performance.</w:t>
            </w:r>
          </w:p>
          <w:p w:rsidR="007C569A" w:rsidRPr="009924FF" w:rsidRDefault="007C569A" w:rsidP="007C569A">
            <w:pPr>
              <w:rPr>
                <w:rFonts w:ascii="Calibri" w:hAnsi="Calibri"/>
                <w:sz w:val="22"/>
                <w:szCs w:val="22"/>
              </w:rPr>
            </w:pPr>
          </w:p>
          <w:p w:rsidR="007C569A" w:rsidRPr="009924FF" w:rsidRDefault="007C569A" w:rsidP="007C569A">
            <w:pPr>
              <w:rPr>
                <w:rFonts w:ascii="Calibri" w:hAnsi="Calibri"/>
                <w:sz w:val="22"/>
                <w:szCs w:val="22"/>
              </w:rPr>
            </w:pPr>
            <w:r w:rsidRPr="009924FF">
              <w:rPr>
                <w:rFonts w:ascii="Calibri" w:hAnsi="Calibri"/>
                <w:sz w:val="22"/>
                <w:szCs w:val="22"/>
              </w:rPr>
              <w:t xml:space="preserve">Management of external </w:t>
            </w:r>
            <w:r w:rsidR="00072BC4" w:rsidRPr="009924FF">
              <w:rPr>
                <w:rFonts w:ascii="Calibri" w:hAnsi="Calibri"/>
                <w:sz w:val="22"/>
                <w:szCs w:val="22"/>
              </w:rPr>
              <w:t>C</w:t>
            </w:r>
            <w:r w:rsidRPr="009924FF">
              <w:rPr>
                <w:rFonts w:ascii="Calibri" w:hAnsi="Calibri"/>
                <w:sz w:val="22"/>
                <w:szCs w:val="22"/>
              </w:rPr>
              <w:t>onsultants involved in the commercial function.</w:t>
            </w:r>
          </w:p>
          <w:p w:rsidR="00072BC4" w:rsidRPr="009924FF" w:rsidRDefault="00072BC4" w:rsidP="007C569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C569A" w:rsidRPr="009924FF" w:rsidRDefault="007C569A" w:rsidP="007C569A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7C569A" w:rsidRPr="009924FF" w:rsidTr="00072BC4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9889" w:type="dxa"/>
            <w:shd w:val="pct12" w:color="000000" w:fill="FFFFFF"/>
            <w:vAlign w:val="center"/>
          </w:tcPr>
          <w:p w:rsidR="007C569A" w:rsidRPr="009924FF" w:rsidRDefault="007C569A" w:rsidP="00072BC4">
            <w:pPr>
              <w:keepNext/>
              <w:jc w:val="center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9924FF">
              <w:rPr>
                <w:rFonts w:ascii="Calibri" w:hAnsi="Calibri"/>
                <w:b/>
                <w:sz w:val="22"/>
                <w:szCs w:val="22"/>
              </w:rPr>
              <w:t>Key Activities</w:t>
            </w:r>
          </w:p>
        </w:tc>
      </w:tr>
      <w:tr w:rsidR="007C569A" w:rsidRPr="009924FF" w:rsidTr="00C42E1F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7C569A" w:rsidRPr="009924FF" w:rsidRDefault="007C569A" w:rsidP="007C569A">
            <w:pPr>
              <w:keepNext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9924FF">
              <w:rPr>
                <w:rFonts w:ascii="Calibri" w:hAnsi="Calibri"/>
                <w:b/>
                <w:sz w:val="22"/>
                <w:szCs w:val="22"/>
              </w:rPr>
              <w:t>1.  Scheduling and quantifying materials and labour</w:t>
            </w:r>
          </w:p>
        </w:tc>
      </w:tr>
      <w:tr w:rsidR="007C569A" w:rsidRPr="009924FF" w:rsidTr="00C42E1F">
        <w:tblPrEx>
          <w:tblCellMar>
            <w:top w:w="0" w:type="dxa"/>
            <w:bottom w:w="0" w:type="dxa"/>
          </w:tblCellMar>
        </w:tblPrEx>
        <w:tc>
          <w:tcPr>
            <w:tcW w:w="9889" w:type="dxa"/>
          </w:tcPr>
          <w:p w:rsidR="00072BC4" w:rsidRPr="009924FF" w:rsidRDefault="00072BC4" w:rsidP="00072BC4">
            <w:pPr>
              <w:ind w:left="360"/>
              <w:rPr>
                <w:rFonts w:ascii="Calibri" w:hAnsi="Calibri"/>
                <w:sz w:val="22"/>
                <w:szCs w:val="22"/>
              </w:rPr>
            </w:pPr>
          </w:p>
          <w:p w:rsidR="007C569A" w:rsidRPr="009924FF" w:rsidRDefault="007C569A" w:rsidP="007C569A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9924FF">
              <w:rPr>
                <w:rFonts w:ascii="Calibri" w:hAnsi="Calibri"/>
                <w:sz w:val="22"/>
                <w:szCs w:val="22"/>
              </w:rPr>
              <w:t>Negotiate and place orders</w:t>
            </w:r>
            <w:r w:rsidR="00072BC4" w:rsidRPr="009924FF">
              <w:rPr>
                <w:rFonts w:ascii="Calibri" w:hAnsi="Calibri"/>
                <w:sz w:val="22"/>
                <w:szCs w:val="22"/>
              </w:rPr>
              <w:t xml:space="preserve"> with Labour &amp; Material Sub Contractors</w:t>
            </w:r>
            <w:r w:rsidRPr="009924FF">
              <w:rPr>
                <w:rFonts w:ascii="Calibri" w:hAnsi="Calibri"/>
                <w:sz w:val="22"/>
                <w:szCs w:val="22"/>
              </w:rPr>
              <w:t>/</w:t>
            </w:r>
            <w:r w:rsidR="00072BC4" w:rsidRPr="009924FF">
              <w:rPr>
                <w:rFonts w:ascii="Calibri" w:hAnsi="Calibri"/>
                <w:sz w:val="22"/>
                <w:szCs w:val="22"/>
              </w:rPr>
              <w:t>Suppliers and C</w:t>
            </w:r>
            <w:r w:rsidRPr="009924FF">
              <w:rPr>
                <w:rFonts w:ascii="Calibri" w:hAnsi="Calibri"/>
                <w:sz w:val="22"/>
                <w:szCs w:val="22"/>
              </w:rPr>
              <w:t>onsultants on a competitive tender basis.</w:t>
            </w:r>
          </w:p>
          <w:p w:rsidR="007C569A" w:rsidRPr="009924FF" w:rsidRDefault="007C569A" w:rsidP="007C569A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9924FF">
              <w:rPr>
                <w:rFonts w:ascii="Calibri" w:hAnsi="Calibri"/>
                <w:sz w:val="22"/>
                <w:szCs w:val="22"/>
              </w:rPr>
              <w:t>Ensure all specifications and programmes are complied with</w:t>
            </w:r>
            <w:r w:rsidR="00072BC4" w:rsidRPr="009924FF">
              <w:rPr>
                <w:rFonts w:ascii="Calibri" w:hAnsi="Calibri"/>
                <w:sz w:val="22"/>
                <w:szCs w:val="22"/>
              </w:rPr>
              <w:t>,</w:t>
            </w:r>
            <w:r w:rsidRPr="009924FF">
              <w:rPr>
                <w:rFonts w:ascii="Calibri" w:hAnsi="Calibri"/>
                <w:sz w:val="22"/>
                <w:szCs w:val="22"/>
              </w:rPr>
              <w:t xml:space="preserve"> and that quality is not compromised.</w:t>
            </w:r>
          </w:p>
          <w:p w:rsidR="007C569A" w:rsidRPr="009924FF" w:rsidRDefault="007C569A" w:rsidP="007C569A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9924FF">
              <w:rPr>
                <w:rFonts w:ascii="Calibri" w:hAnsi="Calibri"/>
                <w:sz w:val="22"/>
                <w:szCs w:val="22"/>
              </w:rPr>
              <w:t>Monitor invoicing procedures and resolve any issues in conjunction with the Finance Department.</w:t>
            </w:r>
          </w:p>
          <w:p w:rsidR="00072BC4" w:rsidRPr="009924FF" w:rsidRDefault="00072BC4" w:rsidP="00072BC4">
            <w:pPr>
              <w:ind w:left="360"/>
              <w:rPr>
                <w:rFonts w:ascii="Calibri" w:hAnsi="Calibri"/>
                <w:sz w:val="22"/>
                <w:szCs w:val="22"/>
              </w:rPr>
            </w:pPr>
          </w:p>
        </w:tc>
      </w:tr>
      <w:tr w:rsidR="007C569A" w:rsidRPr="009924FF" w:rsidTr="00C42E1F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7C569A" w:rsidRPr="009924FF" w:rsidRDefault="007C569A" w:rsidP="007C569A">
            <w:pPr>
              <w:keepNext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9924FF">
              <w:rPr>
                <w:rFonts w:ascii="Calibri" w:hAnsi="Calibri"/>
                <w:b/>
                <w:sz w:val="22"/>
                <w:szCs w:val="22"/>
              </w:rPr>
              <w:t xml:space="preserve">2.  Commercial Management </w:t>
            </w:r>
          </w:p>
        </w:tc>
      </w:tr>
      <w:tr w:rsidR="007C569A" w:rsidRPr="009924FF" w:rsidTr="00C42E1F">
        <w:tblPrEx>
          <w:tblCellMar>
            <w:top w:w="0" w:type="dxa"/>
            <w:bottom w:w="0" w:type="dxa"/>
          </w:tblCellMar>
        </w:tblPrEx>
        <w:tc>
          <w:tcPr>
            <w:tcW w:w="9889" w:type="dxa"/>
          </w:tcPr>
          <w:p w:rsidR="00072BC4" w:rsidRPr="009924FF" w:rsidRDefault="00072BC4" w:rsidP="00072BC4">
            <w:pPr>
              <w:ind w:left="360"/>
              <w:rPr>
                <w:rFonts w:ascii="Calibri" w:hAnsi="Calibri"/>
                <w:sz w:val="22"/>
                <w:szCs w:val="22"/>
              </w:rPr>
            </w:pPr>
          </w:p>
          <w:p w:rsidR="007C569A" w:rsidRPr="009924FF" w:rsidRDefault="007C569A" w:rsidP="007C569A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9924FF">
              <w:rPr>
                <w:rFonts w:ascii="Calibri" w:hAnsi="Calibri"/>
                <w:sz w:val="22"/>
                <w:szCs w:val="22"/>
              </w:rPr>
              <w:t xml:space="preserve">Calculate all the prime costs on developments within the </w:t>
            </w:r>
            <w:r w:rsidR="00072BC4" w:rsidRPr="009924FF">
              <w:rPr>
                <w:rFonts w:ascii="Calibri" w:hAnsi="Calibri"/>
                <w:sz w:val="22"/>
                <w:szCs w:val="22"/>
              </w:rPr>
              <w:t>B</w:t>
            </w:r>
            <w:r w:rsidRPr="009924FF">
              <w:rPr>
                <w:rFonts w:ascii="Calibri" w:hAnsi="Calibri"/>
                <w:sz w:val="22"/>
                <w:szCs w:val="22"/>
              </w:rPr>
              <w:t>usiness, reporting any movements in the costs since the preparation of the</w:t>
            </w:r>
            <w:r w:rsidR="00072BC4" w:rsidRPr="009924FF">
              <w:rPr>
                <w:rFonts w:ascii="Calibri" w:hAnsi="Calibri"/>
                <w:sz w:val="22"/>
                <w:szCs w:val="22"/>
              </w:rPr>
              <w:t xml:space="preserve"> Land Purchase Exercise</w:t>
            </w:r>
            <w:r w:rsidRPr="009924FF">
              <w:rPr>
                <w:rFonts w:ascii="Calibri" w:hAnsi="Calibri"/>
                <w:sz w:val="22"/>
                <w:szCs w:val="22"/>
              </w:rPr>
              <w:t>.  Prime costs to include</w:t>
            </w:r>
            <w:r w:rsidR="00072BC4" w:rsidRPr="009924FF">
              <w:rPr>
                <w:rFonts w:ascii="Calibri" w:hAnsi="Calibri"/>
                <w:sz w:val="22"/>
                <w:szCs w:val="22"/>
              </w:rPr>
              <w:t>,</w:t>
            </w:r>
            <w:r w:rsidRPr="009924FF">
              <w:rPr>
                <w:rFonts w:ascii="Calibri" w:hAnsi="Calibri"/>
                <w:sz w:val="22"/>
                <w:szCs w:val="22"/>
              </w:rPr>
              <w:t xml:space="preserve"> but not restricted to</w:t>
            </w:r>
            <w:r w:rsidR="00072BC4" w:rsidRPr="009924FF">
              <w:rPr>
                <w:rFonts w:ascii="Calibri" w:hAnsi="Calibri"/>
                <w:sz w:val="22"/>
                <w:szCs w:val="22"/>
              </w:rPr>
              <w:t>,</w:t>
            </w:r>
            <w:r w:rsidRPr="009924FF">
              <w:rPr>
                <w:rFonts w:ascii="Calibri" w:hAnsi="Calibri"/>
                <w:sz w:val="22"/>
                <w:szCs w:val="22"/>
              </w:rPr>
              <w:t xml:space="preserve"> dwelling structures, professional fees, site abnormals and infrastructure costs.</w:t>
            </w:r>
          </w:p>
          <w:p w:rsidR="007C569A" w:rsidRPr="009924FF" w:rsidRDefault="007C569A" w:rsidP="007C569A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9924FF">
              <w:rPr>
                <w:rFonts w:ascii="Calibri" w:hAnsi="Calibri"/>
                <w:sz w:val="22"/>
                <w:szCs w:val="22"/>
              </w:rPr>
              <w:t>Assist in the preparation of Site Budgets for authorisation by BUMT at the appropriate time.</w:t>
            </w:r>
          </w:p>
          <w:p w:rsidR="007C569A" w:rsidRPr="009924FF" w:rsidRDefault="00072BC4" w:rsidP="007C569A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9924FF">
              <w:rPr>
                <w:rFonts w:ascii="Calibri" w:hAnsi="Calibri"/>
                <w:sz w:val="22"/>
                <w:szCs w:val="22"/>
              </w:rPr>
              <w:t>Manage closed sites</w:t>
            </w:r>
            <w:r w:rsidR="007C569A" w:rsidRPr="009924FF">
              <w:rPr>
                <w:rFonts w:ascii="Calibri" w:hAnsi="Calibri"/>
                <w:sz w:val="22"/>
                <w:szCs w:val="22"/>
              </w:rPr>
              <w:t xml:space="preserve"> provisions.</w:t>
            </w:r>
          </w:p>
          <w:p w:rsidR="007C569A" w:rsidRPr="009924FF" w:rsidRDefault="007C569A" w:rsidP="007C569A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9924FF">
              <w:rPr>
                <w:rFonts w:ascii="Calibri" w:hAnsi="Calibri"/>
                <w:sz w:val="22"/>
                <w:szCs w:val="22"/>
              </w:rPr>
              <w:t>Assist in monthly WIP and cash</w:t>
            </w:r>
            <w:r w:rsidR="00072BC4" w:rsidRPr="009924F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924FF">
              <w:rPr>
                <w:rFonts w:ascii="Calibri" w:hAnsi="Calibri"/>
                <w:sz w:val="22"/>
                <w:szCs w:val="22"/>
              </w:rPr>
              <w:t xml:space="preserve">flow forecasting </w:t>
            </w:r>
          </w:p>
          <w:p w:rsidR="00072BC4" w:rsidRPr="009924FF" w:rsidRDefault="00072BC4" w:rsidP="00072BC4">
            <w:pPr>
              <w:ind w:left="360"/>
              <w:rPr>
                <w:rFonts w:ascii="Calibri" w:hAnsi="Calibri"/>
                <w:sz w:val="22"/>
                <w:szCs w:val="22"/>
              </w:rPr>
            </w:pPr>
          </w:p>
        </w:tc>
      </w:tr>
      <w:tr w:rsidR="007C569A" w:rsidRPr="009924FF" w:rsidTr="00C42E1F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7C569A" w:rsidRPr="009924FF" w:rsidRDefault="007C569A" w:rsidP="007C569A">
            <w:pPr>
              <w:keepNext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9924FF">
              <w:rPr>
                <w:rFonts w:ascii="Calibri" w:hAnsi="Calibri"/>
                <w:b/>
                <w:sz w:val="22"/>
                <w:szCs w:val="22"/>
              </w:rPr>
              <w:t>3.  Monitor and report costs</w:t>
            </w:r>
          </w:p>
        </w:tc>
      </w:tr>
      <w:tr w:rsidR="007C569A" w:rsidRPr="009924FF" w:rsidTr="00C42E1F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9889" w:type="dxa"/>
          </w:tcPr>
          <w:p w:rsidR="00072BC4" w:rsidRPr="009924FF" w:rsidRDefault="00072BC4" w:rsidP="00072BC4">
            <w:pPr>
              <w:ind w:left="360"/>
              <w:rPr>
                <w:rFonts w:ascii="Calibri" w:hAnsi="Calibri"/>
                <w:sz w:val="22"/>
                <w:szCs w:val="22"/>
              </w:rPr>
            </w:pPr>
          </w:p>
          <w:p w:rsidR="007C569A" w:rsidRPr="009924FF" w:rsidRDefault="007C569A" w:rsidP="007C569A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9924FF">
              <w:rPr>
                <w:rFonts w:ascii="Calibri" w:hAnsi="Calibri"/>
                <w:sz w:val="22"/>
                <w:szCs w:val="22"/>
              </w:rPr>
              <w:t>Monitor and explain all cost movements within the site valuation.</w:t>
            </w:r>
          </w:p>
          <w:p w:rsidR="007C569A" w:rsidRPr="009924FF" w:rsidRDefault="007C569A" w:rsidP="007C569A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9924FF">
              <w:rPr>
                <w:rFonts w:ascii="Calibri" w:hAnsi="Calibri"/>
                <w:sz w:val="22"/>
                <w:szCs w:val="22"/>
              </w:rPr>
              <w:t xml:space="preserve">Responsible for processing all Contractor, </w:t>
            </w:r>
            <w:r w:rsidR="00072BC4" w:rsidRPr="009924FF">
              <w:rPr>
                <w:rFonts w:ascii="Calibri" w:hAnsi="Calibri"/>
                <w:sz w:val="22"/>
                <w:szCs w:val="22"/>
              </w:rPr>
              <w:t>Sub Contractor and Consultant</w:t>
            </w:r>
            <w:r w:rsidRPr="009924FF">
              <w:rPr>
                <w:rFonts w:ascii="Calibri" w:hAnsi="Calibri"/>
                <w:sz w:val="22"/>
                <w:szCs w:val="22"/>
              </w:rPr>
              <w:t xml:space="preserve"> orders and payments, variation orders</w:t>
            </w:r>
            <w:r w:rsidR="00072BC4" w:rsidRPr="009924FF">
              <w:rPr>
                <w:rFonts w:ascii="Calibri" w:hAnsi="Calibri"/>
                <w:sz w:val="22"/>
                <w:szCs w:val="22"/>
              </w:rPr>
              <w:t>,</w:t>
            </w:r>
            <w:r w:rsidRPr="009924FF">
              <w:rPr>
                <w:rFonts w:ascii="Calibri" w:hAnsi="Calibri"/>
                <w:sz w:val="22"/>
                <w:szCs w:val="22"/>
              </w:rPr>
              <w:t xml:space="preserve"> and day works.</w:t>
            </w:r>
          </w:p>
          <w:p w:rsidR="007C569A" w:rsidRPr="009924FF" w:rsidRDefault="007C569A" w:rsidP="007C569A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9924FF">
              <w:rPr>
                <w:rFonts w:ascii="Calibri" w:hAnsi="Calibri"/>
                <w:sz w:val="22"/>
                <w:szCs w:val="22"/>
              </w:rPr>
              <w:t>Undertake valuations of production at budgeted cost on a bi-monthly basis.</w:t>
            </w:r>
          </w:p>
          <w:p w:rsidR="007C569A" w:rsidRPr="009924FF" w:rsidRDefault="007C569A" w:rsidP="007C569A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9924FF">
              <w:rPr>
                <w:rFonts w:ascii="Calibri" w:hAnsi="Calibri"/>
                <w:sz w:val="22"/>
                <w:szCs w:val="22"/>
              </w:rPr>
              <w:t>Report on savings and excesses against budget costs to the S</w:t>
            </w:r>
            <w:r w:rsidR="00072BC4" w:rsidRPr="009924FF">
              <w:rPr>
                <w:rFonts w:ascii="Calibri" w:hAnsi="Calibri"/>
                <w:sz w:val="22"/>
                <w:szCs w:val="22"/>
              </w:rPr>
              <w:t>enior QS/Commercial Director.</w:t>
            </w:r>
          </w:p>
          <w:p w:rsidR="00072BC4" w:rsidRPr="009924FF" w:rsidRDefault="007C569A" w:rsidP="00072BC4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9924FF">
              <w:rPr>
                <w:rFonts w:ascii="Calibri" w:hAnsi="Calibri"/>
                <w:sz w:val="22"/>
                <w:szCs w:val="22"/>
              </w:rPr>
              <w:t>Forecast final accounts.</w:t>
            </w:r>
          </w:p>
          <w:p w:rsidR="00072BC4" w:rsidRPr="009924FF" w:rsidRDefault="00072BC4" w:rsidP="00072BC4">
            <w:pPr>
              <w:ind w:left="36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C569A" w:rsidRPr="009924FF" w:rsidRDefault="00072BC4" w:rsidP="007C569A">
      <w:pPr>
        <w:rPr>
          <w:rFonts w:ascii="Calibri" w:hAnsi="Calibri"/>
          <w:sz w:val="22"/>
          <w:szCs w:val="22"/>
        </w:rPr>
      </w:pPr>
      <w:r w:rsidRPr="009924FF">
        <w:rPr>
          <w:rFonts w:ascii="Calibri" w:hAnsi="Calibri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7C569A" w:rsidRPr="009924FF" w:rsidTr="00C42E1F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7C569A" w:rsidRPr="009924FF" w:rsidRDefault="007C569A" w:rsidP="007C569A">
            <w:pPr>
              <w:keepNext/>
              <w:ind w:left="270" w:hanging="270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9924FF">
              <w:rPr>
                <w:rFonts w:ascii="Calibri" w:hAnsi="Calibri"/>
                <w:b/>
                <w:sz w:val="22"/>
                <w:szCs w:val="22"/>
              </w:rPr>
              <w:t>4.  General</w:t>
            </w:r>
          </w:p>
        </w:tc>
      </w:tr>
      <w:tr w:rsidR="007C569A" w:rsidRPr="009924FF" w:rsidTr="00C42E1F">
        <w:tblPrEx>
          <w:tblCellMar>
            <w:top w:w="0" w:type="dxa"/>
            <w:bottom w:w="0" w:type="dxa"/>
          </w:tblCellMar>
        </w:tblPrEx>
        <w:tc>
          <w:tcPr>
            <w:tcW w:w="9889" w:type="dxa"/>
          </w:tcPr>
          <w:p w:rsidR="00072BC4" w:rsidRPr="009924FF" w:rsidRDefault="00072BC4" w:rsidP="00072BC4">
            <w:pPr>
              <w:ind w:left="360"/>
              <w:rPr>
                <w:rFonts w:ascii="Calibri" w:hAnsi="Calibri"/>
                <w:sz w:val="22"/>
                <w:szCs w:val="22"/>
              </w:rPr>
            </w:pPr>
          </w:p>
          <w:p w:rsidR="007C569A" w:rsidRPr="009924FF" w:rsidRDefault="007C569A" w:rsidP="007C569A">
            <w:pPr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9924FF">
              <w:rPr>
                <w:rFonts w:ascii="Calibri" w:hAnsi="Calibri"/>
                <w:sz w:val="22"/>
                <w:szCs w:val="22"/>
              </w:rPr>
              <w:t>Be aware of all codes of practice that impact on estimating</w:t>
            </w:r>
            <w:r w:rsidR="00072BC4" w:rsidRPr="009924FF">
              <w:rPr>
                <w:rFonts w:ascii="Calibri" w:hAnsi="Calibri"/>
                <w:sz w:val="22"/>
                <w:szCs w:val="22"/>
              </w:rPr>
              <w:t xml:space="preserve">, i.e. </w:t>
            </w:r>
            <w:r w:rsidRPr="009924FF">
              <w:rPr>
                <w:rFonts w:ascii="Calibri" w:hAnsi="Calibri"/>
                <w:sz w:val="22"/>
                <w:szCs w:val="22"/>
              </w:rPr>
              <w:t xml:space="preserve"> Building Regulations, NHBC requirements, HSE</w:t>
            </w:r>
            <w:r w:rsidR="00072BC4" w:rsidRPr="009924FF">
              <w:rPr>
                <w:rFonts w:ascii="Calibri" w:hAnsi="Calibri"/>
                <w:sz w:val="22"/>
                <w:szCs w:val="22"/>
              </w:rPr>
              <w:t>,</w:t>
            </w:r>
            <w:r w:rsidRPr="009924FF">
              <w:rPr>
                <w:rFonts w:ascii="Calibri" w:hAnsi="Calibri"/>
                <w:sz w:val="22"/>
                <w:szCs w:val="22"/>
              </w:rPr>
              <w:t xml:space="preserve"> etc.</w:t>
            </w:r>
          </w:p>
          <w:p w:rsidR="007C569A" w:rsidRPr="009924FF" w:rsidRDefault="007C569A" w:rsidP="007C569A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9924FF">
              <w:rPr>
                <w:rFonts w:ascii="Calibri" w:hAnsi="Calibri"/>
                <w:sz w:val="22"/>
                <w:szCs w:val="22"/>
              </w:rPr>
              <w:t>Monitor, r</w:t>
            </w:r>
            <w:r w:rsidR="00072BC4" w:rsidRPr="009924FF">
              <w:rPr>
                <w:rFonts w:ascii="Calibri" w:hAnsi="Calibri"/>
                <w:sz w:val="22"/>
                <w:szCs w:val="22"/>
              </w:rPr>
              <w:t>econcile and recharge any costs</w:t>
            </w:r>
            <w:r w:rsidRPr="009924FF">
              <w:rPr>
                <w:rFonts w:ascii="Calibri" w:hAnsi="Calibri"/>
                <w:sz w:val="22"/>
                <w:szCs w:val="22"/>
              </w:rPr>
              <w:t xml:space="preserve"> which relate to shared cost items </w:t>
            </w:r>
            <w:r w:rsidR="006B5428" w:rsidRPr="009924FF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9924FF">
              <w:rPr>
                <w:rFonts w:ascii="Calibri" w:hAnsi="Calibri"/>
                <w:sz w:val="22"/>
                <w:szCs w:val="22"/>
              </w:rPr>
              <w:t xml:space="preserve">with either other </w:t>
            </w:r>
            <w:r w:rsidR="006B5428" w:rsidRPr="009924FF">
              <w:rPr>
                <w:rFonts w:ascii="Calibri" w:hAnsi="Calibri"/>
                <w:sz w:val="22"/>
                <w:szCs w:val="22"/>
              </w:rPr>
              <w:t>B</w:t>
            </w:r>
            <w:r w:rsidRPr="009924FF">
              <w:rPr>
                <w:rFonts w:ascii="Calibri" w:hAnsi="Calibri"/>
                <w:sz w:val="22"/>
                <w:szCs w:val="22"/>
              </w:rPr>
              <w:t>usinesses within the Group</w:t>
            </w:r>
            <w:r w:rsidR="006B5428" w:rsidRPr="009924FF">
              <w:rPr>
                <w:rFonts w:ascii="Calibri" w:hAnsi="Calibri"/>
                <w:sz w:val="22"/>
                <w:szCs w:val="22"/>
              </w:rPr>
              <w:t>,</w:t>
            </w:r>
            <w:r w:rsidRPr="009924FF">
              <w:rPr>
                <w:rFonts w:ascii="Calibri" w:hAnsi="Calibri"/>
                <w:sz w:val="22"/>
                <w:szCs w:val="22"/>
              </w:rPr>
              <w:t xml:space="preserve"> or external Companies.</w:t>
            </w:r>
          </w:p>
          <w:p w:rsidR="007C569A" w:rsidRPr="009924FF" w:rsidRDefault="007C569A" w:rsidP="007C569A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9924FF">
              <w:rPr>
                <w:rFonts w:ascii="Calibri" w:hAnsi="Calibri"/>
                <w:sz w:val="22"/>
                <w:szCs w:val="22"/>
              </w:rPr>
              <w:t>Attend</w:t>
            </w:r>
            <w:r w:rsidR="006B5428" w:rsidRPr="009924FF">
              <w:rPr>
                <w:rFonts w:ascii="Calibri" w:hAnsi="Calibri"/>
                <w:sz w:val="22"/>
                <w:szCs w:val="22"/>
              </w:rPr>
              <w:t xml:space="preserve"> Pre Start, Specification, </w:t>
            </w:r>
            <w:r w:rsidRPr="009924FF">
              <w:rPr>
                <w:rFonts w:ascii="Calibri" w:hAnsi="Calibri"/>
                <w:sz w:val="22"/>
                <w:szCs w:val="22"/>
              </w:rPr>
              <w:t>and any other relevant meeting</w:t>
            </w:r>
            <w:r w:rsidR="006B5428" w:rsidRPr="009924FF">
              <w:rPr>
                <w:rFonts w:ascii="Calibri" w:hAnsi="Calibri"/>
                <w:sz w:val="22"/>
                <w:szCs w:val="22"/>
              </w:rPr>
              <w:t>s</w:t>
            </w:r>
            <w:r w:rsidRPr="009924FF">
              <w:rPr>
                <w:rFonts w:ascii="Calibri" w:hAnsi="Calibri"/>
                <w:sz w:val="22"/>
                <w:szCs w:val="22"/>
              </w:rPr>
              <w:t xml:space="preserve"> as required under the Company’s Operating</w:t>
            </w:r>
            <w:r w:rsidR="006B5428" w:rsidRPr="009924FF">
              <w:rPr>
                <w:rFonts w:ascii="Calibri" w:hAnsi="Calibri"/>
                <w:sz w:val="22"/>
                <w:szCs w:val="22"/>
              </w:rPr>
              <w:t xml:space="preserve"> F</w:t>
            </w:r>
            <w:r w:rsidRPr="009924FF">
              <w:rPr>
                <w:rFonts w:ascii="Calibri" w:hAnsi="Calibri"/>
                <w:sz w:val="22"/>
                <w:szCs w:val="22"/>
              </w:rPr>
              <w:t>ramework.</w:t>
            </w:r>
          </w:p>
          <w:p w:rsidR="007C569A" w:rsidRPr="009924FF" w:rsidRDefault="007C569A" w:rsidP="007C569A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9924FF">
              <w:rPr>
                <w:rFonts w:ascii="Calibri" w:hAnsi="Calibri"/>
                <w:sz w:val="22"/>
                <w:szCs w:val="22"/>
              </w:rPr>
              <w:t>Input and maintain any computer based databases or systems.</w:t>
            </w:r>
          </w:p>
          <w:p w:rsidR="007C569A" w:rsidRPr="009924FF" w:rsidRDefault="007C569A" w:rsidP="007C569A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9924FF">
              <w:rPr>
                <w:rFonts w:ascii="Calibri" w:hAnsi="Calibri" w:cs="Arial"/>
                <w:sz w:val="22"/>
                <w:szCs w:val="22"/>
              </w:rPr>
              <w:t xml:space="preserve">Any other duties as required by the </w:t>
            </w:r>
            <w:r w:rsidR="006B5428" w:rsidRPr="009924FF">
              <w:rPr>
                <w:rFonts w:ascii="Calibri" w:hAnsi="Calibri" w:cs="Arial"/>
                <w:sz w:val="22"/>
                <w:szCs w:val="22"/>
              </w:rPr>
              <w:t>Senior QS</w:t>
            </w:r>
            <w:r w:rsidRPr="009924FF">
              <w:rPr>
                <w:rFonts w:ascii="Calibri" w:hAnsi="Calibri" w:cs="Arial"/>
                <w:sz w:val="22"/>
                <w:szCs w:val="22"/>
              </w:rPr>
              <w:t>/Commercial Director.</w:t>
            </w:r>
          </w:p>
          <w:p w:rsidR="007C569A" w:rsidRPr="009924FF" w:rsidRDefault="007C569A" w:rsidP="007C569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C569A" w:rsidRPr="009924FF" w:rsidRDefault="007C569A" w:rsidP="007C569A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7C569A" w:rsidRPr="009924FF" w:rsidTr="006B542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889" w:type="dxa"/>
            <w:shd w:val="pct12" w:color="000000" w:fill="FFFFFF"/>
            <w:vAlign w:val="center"/>
          </w:tcPr>
          <w:p w:rsidR="007C569A" w:rsidRPr="009924FF" w:rsidRDefault="007C569A" w:rsidP="006B5428">
            <w:pPr>
              <w:keepNext/>
              <w:ind w:left="426" w:hanging="426"/>
              <w:jc w:val="center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9924FF">
              <w:rPr>
                <w:rFonts w:ascii="Calibri" w:hAnsi="Calibri"/>
                <w:b/>
                <w:sz w:val="22"/>
                <w:szCs w:val="22"/>
              </w:rPr>
              <w:t>Key Competences</w:t>
            </w:r>
          </w:p>
        </w:tc>
      </w:tr>
      <w:tr w:rsidR="007C569A" w:rsidRPr="009924FF" w:rsidTr="00C42E1F">
        <w:tblPrEx>
          <w:tblCellMar>
            <w:top w:w="0" w:type="dxa"/>
            <w:bottom w:w="0" w:type="dxa"/>
          </w:tblCellMar>
        </w:tblPrEx>
        <w:trPr>
          <w:trHeight w:val="1089"/>
        </w:trPr>
        <w:tc>
          <w:tcPr>
            <w:tcW w:w="9889" w:type="dxa"/>
          </w:tcPr>
          <w:p w:rsidR="006B5428" w:rsidRPr="009924FF" w:rsidRDefault="006B5428" w:rsidP="006B5428">
            <w:pPr>
              <w:ind w:left="426"/>
              <w:rPr>
                <w:rFonts w:ascii="Calibri" w:hAnsi="Calibri"/>
                <w:sz w:val="22"/>
                <w:szCs w:val="22"/>
              </w:rPr>
            </w:pPr>
          </w:p>
          <w:p w:rsidR="007C569A" w:rsidRPr="009924FF" w:rsidRDefault="007C569A" w:rsidP="006B5428">
            <w:pPr>
              <w:numPr>
                <w:ilvl w:val="0"/>
                <w:numId w:val="7"/>
              </w:numPr>
              <w:ind w:left="426" w:hanging="426"/>
              <w:rPr>
                <w:rFonts w:ascii="Calibri" w:hAnsi="Calibri"/>
                <w:sz w:val="22"/>
                <w:szCs w:val="22"/>
              </w:rPr>
            </w:pPr>
            <w:r w:rsidRPr="009924FF">
              <w:rPr>
                <w:rFonts w:ascii="Calibri" w:hAnsi="Calibri"/>
                <w:sz w:val="22"/>
                <w:szCs w:val="22"/>
              </w:rPr>
              <w:t xml:space="preserve">Team </w:t>
            </w:r>
            <w:r w:rsidR="006B5428" w:rsidRPr="009924FF">
              <w:rPr>
                <w:rFonts w:ascii="Calibri" w:hAnsi="Calibri"/>
                <w:sz w:val="22"/>
                <w:szCs w:val="22"/>
              </w:rPr>
              <w:t>w</w:t>
            </w:r>
            <w:r w:rsidRPr="009924FF">
              <w:rPr>
                <w:rFonts w:ascii="Calibri" w:hAnsi="Calibri"/>
                <w:sz w:val="22"/>
                <w:szCs w:val="22"/>
              </w:rPr>
              <w:t>orking</w:t>
            </w:r>
          </w:p>
          <w:p w:rsidR="007C569A" w:rsidRPr="009924FF" w:rsidRDefault="007C569A" w:rsidP="006B5428">
            <w:pPr>
              <w:numPr>
                <w:ilvl w:val="0"/>
                <w:numId w:val="7"/>
              </w:numPr>
              <w:ind w:left="426" w:hanging="426"/>
              <w:rPr>
                <w:rFonts w:ascii="Calibri" w:hAnsi="Calibri"/>
                <w:sz w:val="22"/>
                <w:szCs w:val="22"/>
              </w:rPr>
            </w:pPr>
            <w:r w:rsidRPr="009924FF">
              <w:rPr>
                <w:rFonts w:ascii="Calibri" w:hAnsi="Calibri"/>
                <w:sz w:val="22"/>
                <w:szCs w:val="22"/>
              </w:rPr>
              <w:t xml:space="preserve">Negotiation </w:t>
            </w:r>
            <w:r w:rsidR="006B5428" w:rsidRPr="009924FF">
              <w:rPr>
                <w:rFonts w:ascii="Calibri" w:hAnsi="Calibri"/>
                <w:sz w:val="22"/>
                <w:szCs w:val="22"/>
              </w:rPr>
              <w:t>s</w:t>
            </w:r>
            <w:r w:rsidRPr="009924FF">
              <w:rPr>
                <w:rFonts w:ascii="Calibri" w:hAnsi="Calibri"/>
                <w:sz w:val="22"/>
                <w:szCs w:val="22"/>
              </w:rPr>
              <w:t>kills</w:t>
            </w:r>
          </w:p>
          <w:p w:rsidR="007C569A" w:rsidRPr="009924FF" w:rsidRDefault="007C569A" w:rsidP="006B5428">
            <w:pPr>
              <w:numPr>
                <w:ilvl w:val="0"/>
                <w:numId w:val="7"/>
              </w:numPr>
              <w:ind w:left="426" w:hanging="426"/>
              <w:rPr>
                <w:rFonts w:ascii="Calibri" w:hAnsi="Calibri"/>
                <w:sz w:val="22"/>
                <w:szCs w:val="22"/>
              </w:rPr>
            </w:pPr>
            <w:r w:rsidRPr="009924FF">
              <w:rPr>
                <w:rFonts w:ascii="Calibri" w:hAnsi="Calibri"/>
                <w:sz w:val="22"/>
                <w:szCs w:val="22"/>
              </w:rPr>
              <w:t xml:space="preserve">Attention to </w:t>
            </w:r>
            <w:r w:rsidR="006B5428" w:rsidRPr="009924FF">
              <w:rPr>
                <w:rFonts w:ascii="Calibri" w:hAnsi="Calibri"/>
                <w:sz w:val="22"/>
                <w:szCs w:val="22"/>
              </w:rPr>
              <w:t>d</w:t>
            </w:r>
            <w:r w:rsidRPr="009924FF">
              <w:rPr>
                <w:rFonts w:ascii="Calibri" w:hAnsi="Calibri"/>
                <w:sz w:val="22"/>
                <w:szCs w:val="22"/>
              </w:rPr>
              <w:t>etail</w:t>
            </w:r>
          </w:p>
          <w:p w:rsidR="007C569A" w:rsidRPr="009924FF" w:rsidRDefault="007C569A" w:rsidP="006B5428">
            <w:pPr>
              <w:numPr>
                <w:ilvl w:val="0"/>
                <w:numId w:val="7"/>
              </w:numPr>
              <w:ind w:left="426" w:hanging="426"/>
              <w:rPr>
                <w:rFonts w:ascii="Calibri" w:hAnsi="Calibri"/>
                <w:sz w:val="22"/>
                <w:szCs w:val="22"/>
              </w:rPr>
            </w:pPr>
            <w:r w:rsidRPr="009924FF">
              <w:rPr>
                <w:rFonts w:ascii="Calibri" w:hAnsi="Calibri"/>
                <w:sz w:val="22"/>
                <w:szCs w:val="22"/>
              </w:rPr>
              <w:t xml:space="preserve">Business </w:t>
            </w:r>
            <w:r w:rsidR="006B5428" w:rsidRPr="009924FF">
              <w:rPr>
                <w:rFonts w:ascii="Calibri" w:hAnsi="Calibri"/>
                <w:sz w:val="22"/>
                <w:szCs w:val="22"/>
              </w:rPr>
              <w:t>a</w:t>
            </w:r>
            <w:r w:rsidRPr="009924FF">
              <w:rPr>
                <w:rFonts w:ascii="Calibri" w:hAnsi="Calibri"/>
                <w:sz w:val="22"/>
                <w:szCs w:val="22"/>
              </w:rPr>
              <w:t>cumen</w:t>
            </w:r>
          </w:p>
          <w:p w:rsidR="007C569A" w:rsidRPr="009924FF" w:rsidRDefault="007C569A" w:rsidP="006B5428">
            <w:pPr>
              <w:numPr>
                <w:ilvl w:val="0"/>
                <w:numId w:val="7"/>
              </w:numPr>
              <w:ind w:left="426" w:hanging="426"/>
              <w:rPr>
                <w:rFonts w:ascii="Calibri" w:hAnsi="Calibri"/>
                <w:sz w:val="22"/>
                <w:szCs w:val="22"/>
              </w:rPr>
            </w:pPr>
            <w:r w:rsidRPr="009924FF">
              <w:rPr>
                <w:rFonts w:ascii="Calibri" w:hAnsi="Calibri"/>
                <w:sz w:val="22"/>
                <w:szCs w:val="22"/>
              </w:rPr>
              <w:t xml:space="preserve">Customer </w:t>
            </w:r>
            <w:r w:rsidR="006B5428" w:rsidRPr="009924FF">
              <w:rPr>
                <w:rFonts w:ascii="Calibri" w:hAnsi="Calibri"/>
                <w:sz w:val="22"/>
                <w:szCs w:val="22"/>
              </w:rPr>
              <w:t>f</w:t>
            </w:r>
            <w:r w:rsidRPr="009924FF">
              <w:rPr>
                <w:rFonts w:ascii="Calibri" w:hAnsi="Calibri"/>
                <w:sz w:val="22"/>
                <w:szCs w:val="22"/>
              </w:rPr>
              <w:t>ocus</w:t>
            </w:r>
          </w:p>
          <w:p w:rsidR="007C569A" w:rsidRPr="009924FF" w:rsidRDefault="007C569A" w:rsidP="006B5428">
            <w:pPr>
              <w:numPr>
                <w:ilvl w:val="0"/>
                <w:numId w:val="7"/>
              </w:numPr>
              <w:ind w:left="426" w:hanging="426"/>
              <w:rPr>
                <w:rFonts w:ascii="Calibri" w:hAnsi="Calibri"/>
                <w:sz w:val="22"/>
                <w:szCs w:val="22"/>
              </w:rPr>
            </w:pPr>
            <w:r w:rsidRPr="009924FF">
              <w:rPr>
                <w:rFonts w:ascii="Calibri" w:hAnsi="Calibri"/>
                <w:sz w:val="22"/>
                <w:szCs w:val="22"/>
              </w:rPr>
              <w:t>Communication</w:t>
            </w:r>
          </w:p>
          <w:p w:rsidR="007C569A" w:rsidRPr="009924FF" w:rsidRDefault="007C569A" w:rsidP="006B5428">
            <w:pPr>
              <w:numPr>
                <w:ilvl w:val="0"/>
                <w:numId w:val="7"/>
              </w:numPr>
              <w:ind w:left="426" w:hanging="426"/>
              <w:rPr>
                <w:rFonts w:ascii="Calibri" w:hAnsi="Calibri"/>
                <w:sz w:val="22"/>
                <w:szCs w:val="22"/>
              </w:rPr>
            </w:pPr>
            <w:r w:rsidRPr="009924FF">
              <w:rPr>
                <w:rFonts w:ascii="Calibri" w:hAnsi="Calibri"/>
                <w:sz w:val="22"/>
                <w:szCs w:val="22"/>
              </w:rPr>
              <w:t>Motivation</w:t>
            </w:r>
          </w:p>
          <w:p w:rsidR="006B5428" w:rsidRPr="009924FF" w:rsidRDefault="006B5428" w:rsidP="006B5428">
            <w:pPr>
              <w:ind w:left="426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C569A" w:rsidRPr="009924FF" w:rsidRDefault="007C569A" w:rsidP="007C569A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7C569A" w:rsidRPr="009924FF" w:rsidTr="006B542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889" w:type="dxa"/>
            <w:shd w:val="pct12" w:color="000000" w:fill="FFFFFF"/>
            <w:vAlign w:val="center"/>
          </w:tcPr>
          <w:p w:rsidR="007C569A" w:rsidRPr="009924FF" w:rsidRDefault="007C569A" w:rsidP="006B5428">
            <w:pPr>
              <w:keepNext/>
              <w:ind w:left="426" w:hanging="426"/>
              <w:jc w:val="center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9924FF">
              <w:rPr>
                <w:rFonts w:ascii="Calibri" w:hAnsi="Calibri"/>
                <w:b/>
                <w:sz w:val="22"/>
                <w:szCs w:val="22"/>
              </w:rPr>
              <w:t>Key Experience</w:t>
            </w:r>
          </w:p>
        </w:tc>
      </w:tr>
      <w:tr w:rsidR="007C569A" w:rsidRPr="009924FF" w:rsidTr="00C42E1F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9889" w:type="dxa"/>
          </w:tcPr>
          <w:p w:rsidR="006B5428" w:rsidRPr="009924FF" w:rsidRDefault="006B5428" w:rsidP="006B5428">
            <w:pPr>
              <w:ind w:left="426"/>
              <w:rPr>
                <w:rFonts w:ascii="Calibri" w:hAnsi="Calibri"/>
                <w:sz w:val="22"/>
                <w:szCs w:val="22"/>
              </w:rPr>
            </w:pPr>
          </w:p>
          <w:p w:rsidR="007C569A" w:rsidRPr="009924FF" w:rsidRDefault="007C569A" w:rsidP="006B5428">
            <w:pPr>
              <w:numPr>
                <w:ilvl w:val="0"/>
                <w:numId w:val="7"/>
              </w:numPr>
              <w:ind w:left="426" w:hanging="426"/>
              <w:rPr>
                <w:rFonts w:ascii="Calibri" w:hAnsi="Calibri"/>
                <w:sz w:val="22"/>
                <w:szCs w:val="22"/>
              </w:rPr>
            </w:pPr>
            <w:r w:rsidRPr="009924FF">
              <w:rPr>
                <w:rFonts w:ascii="Calibri" w:hAnsi="Calibri" w:cs="Arial"/>
                <w:sz w:val="22"/>
                <w:szCs w:val="22"/>
              </w:rPr>
              <w:t>Good knowledge of Building Regulations, NHBC and Health and Safety requirements.</w:t>
            </w:r>
          </w:p>
          <w:p w:rsidR="007C569A" w:rsidRPr="009924FF" w:rsidRDefault="007C569A" w:rsidP="006B5428">
            <w:pPr>
              <w:numPr>
                <w:ilvl w:val="0"/>
                <w:numId w:val="7"/>
              </w:numPr>
              <w:ind w:left="426" w:hanging="426"/>
              <w:rPr>
                <w:rFonts w:ascii="Calibri" w:hAnsi="Calibri"/>
                <w:sz w:val="22"/>
                <w:szCs w:val="22"/>
              </w:rPr>
            </w:pPr>
            <w:r w:rsidRPr="009924FF">
              <w:rPr>
                <w:rFonts w:ascii="Calibri" w:hAnsi="Calibri"/>
                <w:sz w:val="22"/>
                <w:szCs w:val="22"/>
              </w:rPr>
              <w:t>Industry related business qualification.</w:t>
            </w:r>
          </w:p>
          <w:p w:rsidR="007C569A" w:rsidRPr="009924FF" w:rsidRDefault="007C569A" w:rsidP="006B5428">
            <w:pPr>
              <w:numPr>
                <w:ilvl w:val="0"/>
                <w:numId w:val="7"/>
              </w:numPr>
              <w:ind w:left="426" w:hanging="426"/>
              <w:rPr>
                <w:rFonts w:ascii="Calibri" w:hAnsi="Calibri"/>
                <w:sz w:val="22"/>
                <w:szCs w:val="22"/>
              </w:rPr>
            </w:pPr>
            <w:r w:rsidRPr="009924FF">
              <w:rPr>
                <w:rFonts w:ascii="Calibri" w:hAnsi="Calibri"/>
                <w:sz w:val="22"/>
                <w:szCs w:val="22"/>
              </w:rPr>
              <w:t>Managing internal and external clients</w:t>
            </w:r>
          </w:p>
          <w:p w:rsidR="007C569A" w:rsidRPr="009924FF" w:rsidRDefault="007C569A" w:rsidP="006B5428">
            <w:pPr>
              <w:numPr>
                <w:ilvl w:val="0"/>
                <w:numId w:val="7"/>
              </w:numPr>
              <w:ind w:left="426" w:hanging="426"/>
              <w:rPr>
                <w:rFonts w:ascii="Calibri" w:hAnsi="Calibri"/>
                <w:sz w:val="22"/>
                <w:szCs w:val="22"/>
              </w:rPr>
            </w:pPr>
            <w:r w:rsidRPr="009924FF">
              <w:rPr>
                <w:rFonts w:ascii="Calibri" w:hAnsi="Calibri"/>
                <w:sz w:val="22"/>
                <w:szCs w:val="22"/>
              </w:rPr>
              <w:t>IT literate (COINS system preferable).</w:t>
            </w:r>
          </w:p>
          <w:p w:rsidR="007C569A" w:rsidRPr="009924FF" w:rsidRDefault="007C569A" w:rsidP="007C569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C569A" w:rsidRPr="009924FF" w:rsidRDefault="007C569A" w:rsidP="007C569A">
      <w:pPr>
        <w:rPr>
          <w:rFonts w:ascii="Calibri" w:hAnsi="Calibri"/>
          <w:sz w:val="22"/>
          <w:szCs w:val="22"/>
        </w:rPr>
      </w:pPr>
    </w:p>
    <w:p w:rsidR="006B5428" w:rsidRPr="00C1354A" w:rsidRDefault="006B5428" w:rsidP="006B5428">
      <w:pPr>
        <w:rPr>
          <w:rFonts w:ascii="Calibri" w:hAnsi="Calibri" w:cs="Arial"/>
          <w:sz w:val="22"/>
          <w:szCs w:val="22"/>
        </w:rPr>
      </w:pPr>
      <w:r w:rsidRPr="00C1354A">
        <w:rPr>
          <w:rFonts w:ascii="Calibri" w:hAnsi="Calibri" w:cs="Arial"/>
          <w:sz w:val="22"/>
          <w:szCs w:val="22"/>
        </w:rPr>
        <w:t>If you wish to be considered for this role, please send your c.v. to:</w:t>
      </w:r>
    </w:p>
    <w:p w:rsidR="006B5428" w:rsidRPr="00C1354A" w:rsidRDefault="006B5428" w:rsidP="006B542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Michael Allsopp, Senior Quantity Surveyor, </w:t>
      </w:r>
      <w:r w:rsidRPr="00C1354A">
        <w:rPr>
          <w:rFonts w:ascii="Calibri" w:hAnsi="Calibri" w:cs="Arial"/>
          <w:sz w:val="22"/>
          <w:szCs w:val="22"/>
        </w:rPr>
        <w:t xml:space="preserve"> Taylor Wimpey West Midlands, 39 Dominion Court, </w:t>
      </w:r>
    </w:p>
    <w:p w:rsidR="006B5428" w:rsidRPr="00C1354A" w:rsidRDefault="006B5428" w:rsidP="006B5428">
      <w:pPr>
        <w:rPr>
          <w:rFonts w:ascii="Calibri" w:hAnsi="Calibri" w:cs="Arial"/>
          <w:sz w:val="22"/>
          <w:szCs w:val="22"/>
        </w:rPr>
      </w:pPr>
      <w:r w:rsidRPr="00C1354A">
        <w:rPr>
          <w:rFonts w:ascii="Calibri" w:hAnsi="Calibri" w:cs="Arial"/>
          <w:sz w:val="22"/>
          <w:szCs w:val="22"/>
        </w:rPr>
        <w:t xml:space="preserve">Station Road, Solihull, </w:t>
      </w:r>
      <w:smartTag w:uri="urn:schemas-microsoft-com:office:smarttags" w:element="place">
        <w:r w:rsidRPr="00C1354A">
          <w:rPr>
            <w:rFonts w:ascii="Calibri" w:hAnsi="Calibri" w:cs="Arial"/>
            <w:sz w:val="22"/>
            <w:szCs w:val="22"/>
          </w:rPr>
          <w:t>West Midlands</w:t>
        </w:r>
      </w:smartTag>
      <w:r w:rsidRPr="00C1354A">
        <w:rPr>
          <w:rFonts w:ascii="Calibri" w:hAnsi="Calibri" w:cs="Arial"/>
          <w:sz w:val="22"/>
          <w:szCs w:val="22"/>
        </w:rPr>
        <w:t>. B91 3RT</w:t>
      </w:r>
      <w:r w:rsidR="009D32CA">
        <w:rPr>
          <w:rFonts w:ascii="Calibri" w:hAnsi="Calibri" w:cs="Arial"/>
          <w:sz w:val="22"/>
          <w:szCs w:val="22"/>
        </w:rPr>
        <w:t>.</w:t>
      </w:r>
      <w:r w:rsidRPr="00C1354A">
        <w:rPr>
          <w:rFonts w:ascii="Calibri" w:hAnsi="Calibri" w:cs="Arial"/>
          <w:sz w:val="22"/>
          <w:szCs w:val="22"/>
        </w:rPr>
        <w:t xml:space="preserve">  Tel:  0121 703 33</w:t>
      </w:r>
      <w:r>
        <w:rPr>
          <w:rFonts w:ascii="Calibri" w:hAnsi="Calibri" w:cs="Arial"/>
          <w:sz w:val="22"/>
          <w:szCs w:val="22"/>
        </w:rPr>
        <w:t>89</w:t>
      </w:r>
    </w:p>
    <w:p w:rsidR="006B5428" w:rsidRPr="00A14F0B" w:rsidRDefault="006B5428" w:rsidP="009D32CA">
      <w:pPr>
        <w:rPr>
          <w:rFonts w:ascii="Calibri" w:hAnsi="Calibri" w:cs="Arial"/>
          <w:sz w:val="22"/>
          <w:szCs w:val="22"/>
        </w:rPr>
      </w:pPr>
      <w:hyperlink r:id="rId9" w:history="1">
        <w:r w:rsidRPr="00B20237">
          <w:rPr>
            <w:rStyle w:val="Hyperlink"/>
            <w:rFonts w:ascii="Calibri" w:hAnsi="Calibri" w:cs="Arial"/>
            <w:sz w:val="22"/>
            <w:szCs w:val="22"/>
          </w:rPr>
          <w:t>Michael.allsopp@taylorwimpey.com</w:t>
        </w:r>
      </w:hyperlink>
      <w:r>
        <w:rPr>
          <w:rFonts w:ascii="Calibri" w:hAnsi="Calibri" w:cs="Arial"/>
          <w:sz w:val="22"/>
          <w:szCs w:val="22"/>
        </w:rPr>
        <w:t xml:space="preserve"> </w:t>
      </w:r>
      <w:r w:rsidRPr="00C1354A">
        <w:rPr>
          <w:rFonts w:ascii="Calibri" w:hAnsi="Calibri" w:cs="Arial"/>
          <w:b/>
          <w:sz w:val="22"/>
          <w:szCs w:val="22"/>
        </w:rPr>
        <w:t xml:space="preserve">by no later than </w:t>
      </w:r>
      <w:r>
        <w:rPr>
          <w:rFonts w:ascii="Calibri" w:hAnsi="Calibri" w:cs="Arial"/>
          <w:b/>
          <w:sz w:val="22"/>
          <w:szCs w:val="22"/>
        </w:rPr>
        <w:t>Friday 5 June 2015</w:t>
      </w:r>
    </w:p>
    <w:p w:rsidR="00CC56B4" w:rsidRPr="009924FF" w:rsidRDefault="00CC56B4">
      <w:pPr>
        <w:rPr>
          <w:rFonts w:ascii="Calibri" w:hAnsi="Calibri"/>
          <w:sz w:val="22"/>
          <w:szCs w:val="22"/>
        </w:rPr>
      </w:pPr>
    </w:p>
    <w:sectPr w:rsidR="00CC56B4" w:rsidRPr="009924FF">
      <w:pgSz w:w="11906" w:h="16838"/>
      <w:pgMar w:top="851" w:right="566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4FF" w:rsidRDefault="009924FF">
      <w:r>
        <w:separator/>
      </w:r>
    </w:p>
  </w:endnote>
  <w:endnote w:type="continuationSeparator" w:id="0">
    <w:p w:rsidR="009924FF" w:rsidRDefault="0099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4FF" w:rsidRDefault="009924FF">
      <w:r>
        <w:separator/>
      </w:r>
    </w:p>
  </w:footnote>
  <w:footnote w:type="continuationSeparator" w:id="0">
    <w:p w:rsidR="009924FF" w:rsidRDefault="00992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55C0"/>
    <w:multiLevelType w:val="hybridMultilevel"/>
    <w:tmpl w:val="BB9E188A"/>
    <w:lvl w:ilvl="0" w:tplc="DD2EEA96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">
    <w:nsid w:val="44007070"/>
    <w:multiLevelType w:val="hybridMultilevel"/>
    <w:tmpl w:val="DFA0B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D7513"/>
    <w:multiLevelType w:val="hybridMultilevel"/>
    <w:tmpl w:val="B644C7C8"/>
    <w:lvl w:ilvl="0" w:tplc="DD2EEA96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AA53B83"/>
    <w:multiLevelType w:val="hybridMultilevel"/>
    <w:tmpl w:val="7734631C"/>
    <w:lvl w:ilvl="0" w:tplc="DD2EEA96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1F841E0"/>
    <w:multiLevelType w:val="hybridMultilevel"/>
    <w:tmpl w:val="CAACAACC"/>
    <w:lvl w:ilvl="0" w:tplc="DD2EEA96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5">
    <w:nsid w:val="67E16FBF"/>
    <w:multiLevelType w:val="hybridMultilevel"/>
    <w:tmpl w:val="7374C80A"/>
    <w:lvl w:ilvl="0" w:tplc="DD2EEA96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B30497"/>
    <w:multiLevelType w:val="hybridMultilevel"/>
    <w:tmpl w:val="8F1248CE"/>
    <w:lvl w:ilvl="0" w:tplc="DD2EEA96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B4"/>
    <w:rsid w:val="00072BC4"/>
    <w:rsid w:val="001859CB"/>
    <w:rsid w:val="00294D0A"/>
    <w:rsid w:val="004713E9"/>
    <w:rsid w:val="006B5428"/>
    <w:rsid w:val="007C569A"/>
    <w:rsid w:val="009924FF"/>
    <w:rsid w:val="009D32CA"/>
    <w:rsid w:val="00A52DD9"/>
    <w:rsid w:val="00C00A35"/>
    <w:rsid w:val="00C42E1F"/>
    <w:rsid w:val="00CC56B4"/>
    <w:rsid w:val="00E0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0000FF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ind w:right="176"/>
      <w:outlineLvl w:val="4"/>
    </w:pPr>
    <w:rPr>
      <w:b/>
      <w:color w:val="0000FF"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keepNext/>
      <w:tabs>
        <w:tab w:val="left" w:pos="360"/>
        <w:tab w:val="left" w:pos="720"/>
      </w:tabs>
      <w:jc w:val="center"/>
      <w:outlineLvl w:val="8"/>
    </w:pPr>
    <w:rPr>
      <w:rFonts w:ascii="Arial" w:hAnsi="Arial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rPr>
      <w:b/>
      <w:i/>
    </w:rPr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ind w:left="720"/>
    </w:pPr>
    <w:rPr>
      <w:rFonts w:ascii="Arial" w:hAnsi="Arial"/>
      <w:sz w:val="22"/>
    </w:rPr>
  </w:style>
  <w:style w:type="paragraph" w:customStyle="1" w:styleId="bullet2">
    <w:name w:val="bullet2"/>
    <w:basedOn w:val="Normal"/>
    <w:pPr>
      <w:ind w:left="216" w:hanging="216"/>
    </w:pPr>
    <w:rPr>
      <w:rFonts w:ascii="Century Gothic" w:hAnsi="Century Gothic"/>
      <w:sz w:val="1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paragraph" w:styleId="Subtitle">
    <w:name w:val="Subtitle"/>
    <w:basedOn w:val="Normal"/>
    <w:qFormat/>
    <w:rPr>
      <w:u w:val="single"/>
    </w:rPr>
  </w:style>
  <w:style w:type="character" w:customStyle="1" w:styleId="Individchara">
    <w:name w:val="Individ chara"/>
    <w:rPr>
      <w:rFonts w:ascii="Arial" w:hAnsi="Arial"/>
      <w:b/>
      <w:color w:val="000080"/>
      <w:spacing w:val="0"/>
      <w:w w:val="100"/>
      <w:position w:val="0"/>
      <w:sz w:val="20"/>
      <w:u w:val="none"/>
    </w:rPr>
  </w:style>
  <w:style w:type="paragraph" w:customStyle="1" w:styleId="Bullets-lastline">
    <w:name w:val="Bullets - last line"/>
    <w:basedOn w:val="Normal"/>
    <w:pPr>
      <w:spacing w:after="160" w:line="360" w:lineRule="auto"/>
      <w:ind w:left="425" w:hanging="425"/>
      <w:jc w:val="both"/>
    </w:pPr>
    <w:rPr>
      <w:rFonts w:ascii="Arial" w:hAnsi="Arial"/>
      <w:sz w:val="20"/>
    </w:rPr>
  </w:style>
  <w:style w:type="character" w:styleId="Hyperlink">
    <w:name w:val="Hyperlink"/>
    <w:rsid w:val="006B54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0000FF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ind w:right="176"/>
      <w:outlineLvl w:val="4"/>
    </w:pPr>
    <w:rPr>
      <w:b/>
      <w:color w:val="0000FF"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keepNext/>
      <w:tabs>
        <w:tab w:val="left" w:pos="360"/>
        <w:tab w:val="left" w:pos="720"/>
      </w:tabs>
      <w:jc w:val="center"/>
      <w:outlineLvl w:val="8"/>
    </w:pPr>
    <w:rPr>
      <w:rFonts w:ascii="Arial" w:hAnsi="Arial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rPr>
      <w:b/>
      <w:i/>
    </w:rPr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ind w:left="720"/>
    </w:pPr>
    <w:rPr>
      <w:rFonts w:ascii="Arial" w:hAnsi="Arial"/>
      <w:sz w:val="22"/>
    </w:rPr>
  </w:style>
  <w:style w:type="paragraph" w:customStyle="1" w:styleId="bullet2">
    <w:name w:val="bullet2"/>
    <w:basedOn w:val="Normal"/>
    <w:pPr>
      <w:ind w:left="216" w:hanging="216"/>
    </w:pPr>
    <w:rPr>
      <w:rFonts w:ascii="Century Gothic" w:hAnsi="Century Gothic"/>
      <w:sz w:val="1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paragraph" w:styleId="Subtitle">
    <w:name w:val="Subtitle"/>
    <w:basedOn w:val="Normal"/>
    <w:qFormat/>
    <w:rPr>
      <w:u w:val="single"/>
    </w:rPr>
  </w:style>
  <w:style w:type="character" w:customStyle="1" w:styleId="Individchara">
    <w:name w:val="Individ chara"/>
    <w:rPr>
      <w:rFonts w:ascii="Arial" w:hAnsi="Arial"/>
      <w:b/>
      <w:color w:val="000080"/>
      <w:spacing w:val="0"/>
      <w:w w:val="100"/>
      <w:position w:val="0"/>
      <w:sz w:val="20"/>
      <w:u w:val="none"/>
    </w:rPr>
  </w:style>
  <w:style w:type="paragraph" w:customStyle="1" w:styleId="Bullets-lastline">
    <w:name w:val="Bullets - last line"/>
    <w:basedOn w:val="Normal"/>
    <w:pPr>
      <w:spacing w:after="160" w:line="360" w:lineRule="auto"/>
      <w:ind w:left="425" w:hanging="425"/>
      <w:jc w:val="both"/>
    </w:pPr>
    <w:rPr>
      <w:rFonts w:ascii="Arial" w:hAnsi="Arial"/>
      <w:sz w:val="20"/>
    </w:rPr>
  </w:style>
  <w:style w:type="character" w:styleId="Hyperlink">
    <w:name w:val="Hyperlink"/>
    <w:rsid w:val="006B54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chael.allsopp@taylorwimp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 for completing the Role Profile</vt:lpstr>
    </vt:vector>
  </TitlesOfParts>
  <Company>Taylor Woodrow</Company>
  <LinksUpToDate>false</LinksUpToDate>
  <CharactersWithSpaces>3195</CharactersWithSpaces>
  <SharedDoc>false</SharedDoc>
  <HLinks>
    <vt:vector size="6" baseType="variant">
      <vt:variant>
        <vt:i4>3080275</vt:i4>
      </vt:variant>
      <vt:variant>
        <vt:i4>0</vt:i4>
      </vt:variant>
      <vt:variant>
        <vt:i4>0</vt:i4>
      </vt:variant>
      <vt:variant>
        <vt:i4>5</vt:i4>
      </vt:variant>
      <vt:variant>
        <vt:lpwstr>mailto:Michael.allsopp@taylorwimpey.com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for completing the Role Profile</dc:title>
  <dc:creator>TW</dc:creator>
  <cp:lastModifiedBy>Lynette Jack - TW Head Office</cp:lastModifiedBy>
  <cp:revision>2</cp:revision>
  <cp:lastPrinted>2015-05-12T09:06:00Z</cp:lastPrinted>
  <dcterms:created xsi:type="dcterms:W3CDTF">2015-05-12T11:18:00Z</dcterms:created>
  <dcterms:modified xsi:type="dcterms:W3CDTF">2015-05-12T11:18:00Z</dcterms:modified>
</cp:coreProperties>
</file>