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00" w:rsidRPr="008E273B" w:rsidRDefault="00544400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bookmarkStart w:id="0" w:name="_GoBack"/>
      <w:bookmarkEnd w:id="0"/>
    </w:p>
    <w:p w:rsidR="004F3F97" w:rsidRDefault="00AF1AE3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8E273B">
        <w:rPr>
          <w:rFonts w:ascii="Calibri" w:hAnsi="Calibri" w:cs="Arial"/>
          <w:color w:val="CC0000"/>
          <w:sz w:val="22"/>
          <w:szCs w:val="22"/>
        </w:rPr>
        <w:t>Key facts</w:t>
      </w:r>
    </w:p>
    <w:p w:rsidR="000F17A3" w:rsidRPr="008E273B" w:rsidRDefault="000F17A3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8"/>
        <w:gridCol w:w="3240"/>
        <w:gridCol w:w="1620"/>
        <w:gridCol w:w="2808"/>
      </w:tblGrid>
      <w:tr w:rsidR="00AF1AE3" w:rsidRPr="008E273B" w:rsidTr="008D0FE2">
        <w:tc>
          <w:tcPr>
            <w:tcW w:w="118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8E273B" w:rsidRDefault="00E85BC4" w:rsidP="00E85BC4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>
              <w:rPr>
                <w:rFonts w:ascii="Calibri" w:hAnsi="Calibri" w:cs="Arial"/>
                <w:color w:val="CC0000"/>
                <w:sz w:val="22"/>
                <w:szCs w:val="22"/>
              </w:rPr>
              <w:t xml:space="preserve">   </w:t>
            </w:r>
            <w:r w:rsidR="00AF1AE3" w:rsidRPr="008E273B">
              <w:rPr>
                <w:rFonts w:ascii="Calibri" w:hAnsi="Calibri" w:cs="Arial"/>
                <w:color w:val="CC0000"/>
                <w:sz w:val="22"/>
                <w:szCs w:val="22"/>
              </w:rPr>
              <w:t>Job title: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8E273B" w:rsidRDefault="000F17A3" w:rsidP="001265E9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</w:rPr>
              <w:t>Senior Commercial Manager</w:t>
            </w:r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8E273B" w:rsidRDefault="00E85BC4" w:rsidP="00E85BC4">
            <w:pPr>
              <w:jc w:val="center"/>
              <w:rPr>
                <w:rFonts w:ascii="Calibri" w:hAnsi="Calibri" w:cs="Arial"/>
                <w:color w:val="CC0000"/>
                <w:sz w:val="22"/>
                <w:szCs w:val="22"/>
              </w:rPr>
            </w:pPr>
            <w:r>
              <w:rPr>
                <w:rFonts w:ascii="Calibri" w:hAnsi="Calibri" w:cs="Arial"/>
                <w:color w:val="CC0000"/>
                <w:sz w:val="22"/>
                <w:szCs w:val="22"/>
              </w:rPr>
              <w:t xml:space="preserve">       </w:t>
            </w:r>
            <w:r w:rsidR="00AF1AE3" w:rsidRPr="008E273B">
              <w:rPr>
                <w:rFonts w:ascii="Calibri" w:hAnsi="Calibri" w:cs="Arial"/>
                <w:color w:val="CC0000"/>
                <w:sz w:val="22"/>
                <w:szCs w:val="22"/>
              </w:rPr>
              <w:t>Location: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8E273B" w:rsidRDefault="005541C0" w:rsidP="001265E9">
            <w:pPr>
              <w:jc w:val="both"/>
              <w:rPr>
                <w:rFonts w:ascii="Calibri" w:hAnsi="Calibri" w:cs="Arial"/>
                <w:color w:val="292929"/>
                <w:sz w:val="22"/>
                <w:szCs w:val="22"/>
              </w:rPr>
            </w:pPr>
            <w:r>
              <w:rPr>
                <w:rFonts w:ascii="Calibri" w:hAnsi="Calibri" w:cs="Arial"/>
                <w:color w:val="292929"/>
                <w:sz w:val="22"/>
                <w:szCs w:val="22"/>
              </w:rPr>
              <w:t>Dunfermline</w:t>
            </w:r>
          </w:p>
        </w:tc>
      </w:tr>
      <w:tr w:rsidR="00AF1AE3" w:rsidRPr="008E273B" w:rsidTr="008D0FE2">
        <w:tc>
          <w:tcPr>
            <w:tcW w:w="118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8E273B" w:rsidRDefault="00AF1AE3" w:rsidP="001265E9">
            <w:pPr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8E273B">
              <w:rPr>
                <w:rFonts w:ascii="Calibri" w:hAnsi="Calibri" w:cs="Arial"/>
                <w:color w:val="CC0000"/>
                <w:sz w:val="22"/>
                <w:szCs w:val="22"/>
              </w:rPr>
              <w:t>Business:</w:t>
            </w:r>
          </w:p>
        </w:tc>
        <w:tc>
          <w:tcPr>
            <w:tcW w:w="3240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8E273B" w:rsidRDefault="000F17A3" w:rsidP="001265E9">
            <w:pPr>
              <w:jc w:val="both"/>
              <w:rPr>
                <w:rFonts w:ascii="Calibri" w:hAnsi="Calibri" w:cs="Arial"/>
                <w:color w:val="292929"/>
                <w:sz w:val="22"/>
                <w:szCs w:val="22"/>
              </w:rPr>
            </w:pPr>
            <w:r>
              <w:rPr>
                <w:rFonts w:ascii="Calibri" w:hAnsi="Calibri" w:cs="Arial"/>
                <w:color w:val="292929"/>
                <w:sz w:val="22"/>
                <w:szCs w:val="22"/>
              </w:rPr>
              <w:t>TW East Scotland</w:t>
            </w:r>
          </w:p>
        </w:tc>
        <w:tc>
          <w:tcPr>
            <w:tcW w:w="1620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8E273B" w:rsidRDefault="00AF1AE3" w:rsidP="001265E9">
            <w:pPr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8E273B">
              <w:rPr>
                <w:rFonts w:ascii="Calibri" w:hAnsi="Calibri" w:cs="Arial"/>
                <w:color w:val="CC0000"/>
                <w:sz w:val="22"/>
                <w:szCs w:val="22"/>
              </w:rPr>
              <w:t>Report to:</w:t>
            </w:r>
          </w:p>
        </w:tc>
        <w:tc>
          <w:tcPr>
            <w:tcW w:w="280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8E273B" w:rsidRDefault="000F17A3" w:rsidP="001265E9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</w:rPr>
              <w:t>Commercial Director</w:t>
            </w:r>
          </w:p>
        </w:tc>
      </w:tr>
    </w:tbl>
    <w:p w:rsidR="00254C2A" w:rsidRPr="00E34143" w:rsidRDefault="00254C2A" w:rsidP="001265E9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AF1AE3" w:rsidRDefault="00AF1AE3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8E273B">
        <w:rPr>
          <w:rFonts w:ascii="Calibri" w:hAnsi="Calibri" w:cs="Arial"/>
          <w:color w:val="CC0000"/>
          <w:sz w:val="22"/>
          <w:szCs w:val="22"/>
        </w:rPr>
        <w:t>The purpose of the role</w:t>
      </w:r>
    </w:p>
    <w:p w:rsidR="000F17A3" w:rsidRDefault="000F17A3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686E50" w:rsidRDefault="00686E50" w:rsidP="00686E5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Lead the commercial management of the business unit’s developments</w:t>
      </w:r>
      <w:r w:rsidR="00192845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and </w:t>
      </w:r>
      <w:r w:rsidR="00192845"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z w:val="22"/>
        </w:rPr>
        <w:t>day-to-day m</w:t>
      </w:r>
      <w:r w:rsidRPr="004300FA">
        <w:rPr>
          <w:rFonts w:ascii="Calibri" w:hAnsi="Calibri"/>
          <w:sz w:val="22"/>
        </w:rPr>
        <w:t>anagement</w:t>
      </w:r>
      <w:r>
        <w:rPr>
          <w:rFonts w:ascii="Calibri" w:hAnsi="Calibri"/>
          <w:sz w:val="22"/>
        </w:rPr>
        <w:t xml:space="preserve"> o</w:t>
      </w:r>
      <w:r w:rsidRPr="004300FA">
        <w:rPr>
          <w:rFonts w:ascii="Calibri" w:hAnsi="Calibri"/>
          <w:sz w:val="22"/>
        </w:rPr>
        <w:t xml:space="preserve">f </w:t>
      </w:r>
      <w:r>
        <w:rPr>
          <w:rFonts w:ascii="Calibri" w:hAnsi="Calibri"/>
          <w:sz w:val="22"/>
        </w:rPr>
        <w:t>the commercial team</w:t>
      </w:r>
      <w:r w:rsidR="00E34143">
        <w:rPr>
          <w:rFonts w:ascii="Calibri" w:hAnsi="Calibri"/>
          <w:sz w:val="22"/>
        </w:rPr>
        <w:t xml:space="preserve">.  </w:t>
      </w:r>
      <w:r w:rsidR="00CE79A3">
        <w:rPr>
          <w:rFonts w:ascii="Calibri" w:hAnsi="Calibri"/>
          <w:sz w:val="22"/>
        </w:rPr>
        <w:t>Be an active member of the business unit senior management team.</w:t>
      </w:r>
    </w:p>
    <w:p w:rsidR="00686E50" w:rsidRDefault="00686E50" w:rsidP="00686E50">
      <w:pPr>
        <w:rPr>
          <w:rFonts w:ascii="Calibri" w:hAnsi="Calibri"/>
          <w:sz w:val="22"/>
        </w:rPr>
      </w:pPr>
    </w:p>
    <w:p w:rsidR="00686E50" w:rsidRPr="004300FA" w:rsidRDefault="00686E50" w:rsidP="00686E5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Including s</w:t>
      </w:r>
      <w:r w:rsidRPr="004300FA">
        <w:rPr>
          <w:rFonts w:ascii="Calibri" w:hAnsi="Calibri"/>
          <w:sz w:val="22"/>
        </w:rPr>
        <w:t xml:space="preserve">etting </w:t>
      </w:r>
      <w:r>
        <w:rPr>
          <w:rFonts w:ascii="Calibri" w:hAnsi="Calibri"/>
          <w:sz w:val="22"/>
        </w:rPr>
        <w:t xml:space="preserve">operational </w:t>
      </w:r>
      <w:r w:rsidRPr="004300FA">
        <w:rPr>
          <w:rFonts w:ascii="Calibri" w:hAnsi="Calibri"/>
          <w:sz w:val="22"/>
        </w:rPr>
        <w:t xml:space="preserve">targets and goals across the commercial </w:t>
      </w:r>
      <w:r>
        <w:rPr>
          <w:rFonts w:ascii="Calibri" w:hAnsi="Calibri"/>
          <w:sz w:val="22"/>
        </w:rPr>
        <w:t>team</w:t>
      </w:r>
      <w:r w:rsidRPr="004300FA">
        <w:rPr>
          <w:rFonts w:ascii="Calibri" w:hAnsi="Calibri"/>
          <w:sz w:val="22"/>
        </w:rPr>
        <w:t xml:space="preserve"> and ensuring that plans are in place to deliver those goals.</w:t>
      </w:r>
      <w:r>
        <w:rPr>
          <w:rFonts w:ascii="Calibri" w:hAnsi="Calibri"/>
          <w:sz w:val="22"/>
        </w:rPr>
        <w:t xml:space="preserve">  Also including an active involvement in training, development and succession plans.</w:t>
      </w:r>
    </w:p>
    <w:p w:rsidR="00686E50" w:rsidRDefault="00686E50" w:rsidP="00E85BC4">
      <w:pPr>
        <w:rPr>
          <w:rFonts w:ascii="Calibri" w:hAnsi="Calibri"/>
          <w:sz w:val="22"/>
        </w:rPr>
      </w:pPr>
    </w:p>
    <w:p w:rsidR="00686E50" w:rsidRDefault="00686E50" w:rsidP="00E85B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Specifically responsible for t</w:t>
      </w:r>
      <w:r w:rsidR="000530A2">
        <w:rPr>
          <w:rFonts w:ascii="Calibri" w:hAnsi="Calibri"/>
          <w:sz w:val="22"/>
        </w:rPr>
        <w:t>he CVR</w:t>
      </w:r>
      <w:r>
        <w:rPr>
          <w:rFonts w:ascii="Calibri" w:hAnsi="Calibri"/>
          <w:sz w:val="22"/>
        </w:rPr>
        <w:t xml:space="preserve">, </w:t>
      </w:r>
      <w:r w:rsidR="00192845">
        <w:rPr>
          <w:rFonts w:ascii="Calibri" w:hAnsi="Calibri"/>
          <w:sz w:val="22"/>
        </w:rPr>
        <w:t>P</w:t>
      </w:r>
      <w:r w:rsidR="000530A2">
        <w:rPr>
          <w:rFonts w:ascii="Calibri" w:hAnsi="Calibri"/>
          <w:sz w:val="22"/>
        </w:rPr>
        <w:t>ayment</w:t>
      </w:r>
      <w:r w:rsidR="00192845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="00192845">
        <w:rPr>
          <w:rFonts w:ascii="Calibri" w:hAnsi="Calibri"/>
          <w:sz w:val="22"/>
        </w:rPr>
        <w:t xml:space="preserve">VIM, WIP </w:t>
      </w:r>
      <w:r>
        <w:rPr>
          <w:rFonts w:ascii="Calibri" w:hAnsi="Calibri"/>
          <w:sz w:val="22"/>
        </w:rPr>
        <w:t xml:space="preserve">and cashflow forecast </w:t>
      </w:r>
      <w:r w:rsidR="000530A2">
        <w:rPr>
          <w:rFonts w:ascii="Calibri" w:hAnsi="Calibri"/>
          <w:sz w:val="22"/>
        </w:rPr>
        <w:t xml:space="preserve">processes.  Also </w:t>
      </w:r>
      <w:r w:rsidR="00FA5A63">
        <w:rPr>
          <w:rFonts w:ascii="Calibri" w:hAnsi="Calibri"/>
          <w:sz w:val="22"/>
        </w:rPr>
        <w:t xml:space="preserve">setting site budgets </w:t>
      </w:r>
      <w:r w:rsidR="00010523">
        <w:rPr>
          <w:rFonts w:ascii="Calibri" w:hAnsi="Calibri"/>
          <w:sz w:val="22"/>
        </w:rPr>
        <w:t>and providing commerci</w:t>
      </w:r>
      <w:r w:rsidR="000530A2">
        <w:rPr>
          <w:rFonts w:ascii="Calibri" w:hAnsi="Calibri"/>
          <w:sz w:val="22"/>
        </w:rPr>
        <w:t>al input into land appraisals.</w:t>
      </w:r>
    </w:p>
    <w:p w:rsidR="00E85BC4" w:rsidRPr="004300FA" w:rsidRDefault="00E85BC4" w:rsidP="00E85BC4">
      <w:pPr>
        <w:rPr>
          <w:rFonts w:ascii="Calibri" w:hAnsi="Calibri"/>
          <w:sz w:val="22"/>
        </w:rPr>
      </w:pPr>
    </w:p>
    <w:p w:rsidR="000F17A3" w:rsidRDefault="00E85BC4" w:rsidP="00E85BC4">
      <w:pPr>
        <w:jc w:val="both"/>
        <w:rPr>
          <w:rFonts w:ascii="Calibri" w:hAnsi="Calibri"/>
          <w:sz w:val="22"/>
        </w:rPr>
      </w:pPr>
      <w:r w:rsidRPr="004300FA">
        <w:rPr>
          <w:rFonts w:ascii="Calibri" w:hAnsi="Calibri"/>
          <w:sz w:val="22"/>
        </w:rPr>
        <w:t xml:space="preserve">To maintain the business culture </w:t>
      </w:r>
      <w:r w:rsidR="00010523">
        <w:rPr>
          <w:rFonts w:ascii="Calibri" w:hAnsi="Calibri"/>
          <w:sz w:val="22"/>
        </w:rPr>
        <w:t xml:space="preserve">aligned to the Taylor Wimpey competencies </w:t>
      </w:r>
      <w:r w:rsidRPr="004300FA">
        <w:rPr>
          <w:rFonts w:ascii="Calibri" w:hAnsi="Calibri"/>
          <w:sz w:val="22"/>
        </w:rPr>
        <w:t xml:space="preserve">and </w:t>
      </w:r>
      <w:r w:rsidR="00010523">
        <w:rPr>
          <w:rFonts w:ascii="Calibri" w:hAnsi="Calibri"/>
          <w:sz w:val="22"/>
        </w:rPr>
        <w:t xml:space="preserve">a </w:t>
      </w:r>
      <w:r w:rsidRPr="004300FA">
        <w:rPr>
          <w:rFonts w:ascii="Calibri" w:hAnsi="Calibri"/>
          <w:sz w:val="22"/>
        </w:rPr>
        <w:t xml:space="preserve">control framework set out in the </w:t>
      </w:r>
      <w:r w:rsidR="00FA5A63">
        <w:rPr>
          <w:rFonts w:ascii="Calibri" w:hAnsi="Calibri"/>
          <w:sz w:val="22"/>
        </w:rPr>
        <w:t xml:space="preserve">Taylor Wimpey’s </w:t>
      </w:r>
      <w:r w:rsidRPr="004300FA">
        <w:rPr>
          <w:rFonts w:ascii="Calibri" w:hAnsi="Calibri"/>
          <w:sz w:val="22"/>
        </w:rPr>
        <w:t>Operating Framework</w:t>
      </w:r>
      <w:r w:rsidR="00FA5A63">
        <w:rPr>
          <w:rFonts w:ascii="Calibri" w:hAnsi="Calibri"/>
          <w:sz w:val="22"/>
        </w:rPr>
        <w:t>, our Commercial Manual</w:t>
      </w:r>
      <w:r w:rsidRPr="004300FA">
        <w:rPr>
          <w:rFonts w:ascii="Calibri" w:hAnsi="Calibri"/>
          <w:sz w:val="22"/>
        </w:rPr>
        <w:t xml:space="preserve"> and CDM processes</w:t>
      </w:r>
      <w:r w:rsidR="000530A2">
        <w:rPr>
          <w:rFonts w:ascii="Calibri" w:hAnsi="Calibri"/>
          <w:sz w:val="22"/>
        </w:rPr>
        <w:t>.</w:t>
      </w:r>
    </w:p>
    <w:p w:rsidR="000F17A3" w:rsidRPr="000530A2" w:rsidRDefault="000F17A3" w:rsidP="001265E9">
      <w:pPr>
        <w:jc w:val="both"/>
        <w:rPr>
          <w:rFonts w:ascii="Calibri" w:hAnsi="Calibri" w:cs="Arial"/>
          <w:sz w:val="22"/>
          <w:szCs w:val="22"/>
        </w:rPr>
      </w:pPr>
    </w:p>
    <w:p w:rsidR="00AF1AE3" w:rsidRPr="004300FA" w:rsidRDefault="00D2067F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4300FA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1265E9" w:rsidRPr="004300FA">
        <w:rPr>
          <w:rFonts w:ascii="Calibri" w:hAnsi="Calibri" w:cs="Arial"/>
          <w:color w:val="CC0000"/>
          <w:sz w:val="22"/>
          <w:szCs w:val="22"/>
        </w:rPr>
        <w:t>accountabilities</w:t>
      </w:r>
    </w:p>
    <w:p w:rsidR="00AF1AE3" w:rsidRPr="004300FA" w:rsidRDefault="00AF1AE3" w:rsidP="001265E9">
      <w:pPr>
        <w:jc w:val="both"/>
        <w:rPr>
          <w:rFonts w:ascii="Calibri" w:hAnsi="Calibri" w:cs="Arial"/>
          <w:sz w:val="22"/>
          <w:szCs w:val="22"/>
        </w:rPr>
      </w:pPr>
    </w:p>
    <w:p w:rsidR="00567824" w:rsidRPr="004300FA" w:rsidRDefault="00567824" w:rsidP="00567824">
      <w:pPr>
        <w:numPr>
          <w:ilvl w:val="0"/>
          <w:numId w:val="13"/>
        </w:numPr>
        <w:jc w:val="both"/>
        <w:rPr>
          <w:rFonts w:ascii="Calibri" w:hAnsi="Calibri"/>
          <w:b/>
          <w:sz w:val="22"/>
          <w:szCs w:val="22"/>
        </w:rPr>
      </w:pPr>
      <w:r w:rsidRPr="004300FA">
        <w:rPr>
          <w:rFonts w:ascii="Calibri" w:hAnsi="Calibri"/>
          <w:b/>
          <w:sz w:val="22"/>
          <w:szCs w:val="22"/>
        </w:rPr>
        <w:t xml:space="preserve">Resource </w:t>
      </w:r>
      <w:r w:rsidR="00192845">
        <w:rPr>
          <w:rFonts w:ascii="Calibri" w:hAnsi="Calibri"/>
          <w:b/>
          <w:sz w:val="22"/>
          <w:szCs w:val="22"/>
        </w:rPr>
        <w:t>m</w:t>
      </w:r>
      <w:r w:rsidRPr="004300FA">
        <w:rPr>
          <w:rFonts w:ascii="Calibri" w:hAnsi="Calibri"/>
          <w:b/>
          <w:sz w:val="22"/>
          <w:szCs w:val="22"/>
        </w:rPr>
        <w:t>anagement</w:t>
      </w:r>
    </w:p>
    <w:p w:rsidR="00567824" w:rsidRPr="004300FA" w:rsidRDefault="00567824" w:rsidP="00567824">
      <w:pPr>
        <w:jc w:val="both"/>
        <w:rPr>
          <w:rFonts w:ascii="Calibri" w:hAnsi="Calibri"/>
          <w:sz w:val="22"/>
          <w:szCs w:val="22"/>
        </w:rPr>
      </w:pPr>
    </w:p>
    <w:p w:rsidR="00567824" w:rsidRPr="004300FA" w:rsidRDefault="00567824" w:rsidP="00567824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>Manage the quantity surveying and buying activities in order that procurement and cost reporting are aligned within the COINS framework.</w:t>
      </w:r>
    </w:p>
    <w:p w:rsidR="00567824" w:rsidRPr="004300FA" w:rsidRDefault="00567824" w:rsidP="00567824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>Ensure adequate resources are on site to commence build in line with development programmes and site budgets.</w:t>
      </w:r>
    </w:p>
    <w:p w:rsidR="00567824" w:rsidRPr="004300FA" w:rsidRDefault="00567824" w:rsidP="00567824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>Monitor and evaluate subcontract performance and take any appropriate action.</w:t>
      </w:r>
    </w:p>
    <w:p w:rsidR="00567824" w:rsidRPr="004300FA" w:rsidRDefault="00567824" w:rsidP="00567824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>Work with all suppliers to negotiate best deals where appropriate and work with other departments to improve cost effectiveness.</w:t>
      </w:r>
    </w:p>
    <w:p w:rsidR="00567824" w:rsidRPr="004300FA" w:rsidRDefault="00567824" w:rsidP="00567824">
      <w:pPr>
        <w:jc w:val="both"/>
        <w:rPr>
          <w:rFonts w:ascii="Calibri" w:hAnsi="Calibri" w:cs="Arial"/>
          <w:sz w:val="22"/>
          <w:szCs w:val="22"/>
        </w:rPr>
      </w:pPr>
    </w:p>
    <w:p w:rsidR="00567824" w:rsidRPr="004300FA" w:rsidRDefault="00010523" w:rsidP="00567824">
      <w:pPr>
        <w:numPr>
          <w:ilvl w:val="0"/>
          <w:numId w:val="1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Full commercial management of our h</w:t>
      </w:r>
      <w:r w:rsidR="00567824" w:rsidRPr="004300FA">
        <w:rPr>
          <w:rFonts w:ascii="Calibri" w:hAnsi="Calibri"/>
          <w:b/>
          <w:sz w:val="22"/>
          <w:szCs w:val="22"/>
        </w:rPr>
        <w:t xml:space="preserve">ousing </w:t>
      </w:r>
      <w:r>
        <w:rPr>
          <w:rFonts w:ascii="Calibri" w:hAnsi="Calibri"/>
          <w:b/>
          <w:sz w:val="22"/>
          <w:szCs w:val="22"/>
        </w:rPr>
        <w:t>development</w:t>
      </w:r>
    </w:p>
    <w:p w:rsidR="00567824" w:rsidRPr="00192845" w:rsidRDefault="00567824" w:rsidP="00567824">
      <w:pPr>
        <w:jc w:val="both"/>
        <w:rPr>
          <w:rFonts w:ascii="Calibri" w:hAnsi="Calibri"/>
          <w:sz w:val="22"/>
          <w:szCs w:val="22"/>
        </w:rPr>
      </w:pPr>
    </w:p>
    <w:p w:rsidR="00567824" w:rsidRPr="004300FA" w:rsidRDefault="00567824" w:rsidP="00567824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 xml:space="preserve">Provide a detailed </w:t>
      </w:r>
      <w:r w:rsidR="00192845">
        <w:rPr>
          <w:rFonts w:ascii="Calibri" w:hAnsi="Calibri"/>
          <w:sz w:val="22"/>
          <w:szCs w:val="22"/>
        </w:rPr>
        <w:t>site</w:t>
      </w:r>
      <w:r w:rsidRPr="004300FA">
        <w:rPr>
          <w:rFonts w:ascii="Calibri" w:hAnsi="Calibri"/>
          <w:sz w:val="22"/>
          <w:szCs w:val="22"/>
        </w:rPr>
        <w:t xml:space="preserve"> budget </w:t>
      </w:r>
      <w:r w:rsidR="00192845">
        <w:rPr>
          <w:rFonts w:ascii="Calibri" w:hAnsi="Calibri"/>
          <w:sz w:val="22"/>
          <w:szCs w:val="22"/>
        </w:rPr>
        <w:t>for each development</w:t>
      </w:r>
      <w:r w:rsidRPr="004300FA">
        <w:rPr>
          <w:rFonts w:ascii="Calibri" w:hAnsi="Calibri"/>
          <w:sz w:val="22"/>
          <w:szCs w:val="22"/>
        </w:rPr>
        <w:t>.</w:t>
      </w:r>
      <w:r w:rsidR="007C159A" w:rsidRPr="007C159A">
        <w:rPr>
          <w:rFonts w:ascii="Calibri" w:hAnsi="Calibri"/>
          <w:sz w:val="22"/>
          <w:szCs w:val="22"/>
        </w:rPr>
        <w:t xml:space="preserve"> </w:t>
      </w:r>
      <w:r w:rsidR="007C159A">
        <w:rPr>
          <w:rFonts w:ascii="Calibri" w:hAnsi="Calibri"/>
          <w:sz w:val="22"/>
          <w:szCs w:val="22"/>
        </w:rPr>
        <w:t xml:space="preserve"> </w:t>
      </w:r>
      <w:r w:rsidR="007C159A" w:rsidRPr="004300FA">
        <w:rPr>
          <w:rFonts w:ascii="Calibri" w:hAnsi="Calibri"/>
          <w:sz w:val="22"/>
          <w:szCs w:val="22"/>
        </w:rPr>
        <w:t xml:space="preserve">Maintain the </w:t>
      </w:r>
      <w:r w:rsidR="007C159A">
        <w:rPr>
          <w:rFonts w:ascii="Calibri" w:hAnsi="Calibri"/>
          <w:sz w:val="22"/>
          <w:szCs w:val="22"/>
        </w:rPr>
        <w:t>site</w:t>
      </w:r>
      <w:r w:rsidR="007C159A" w:rsidRPr="004300FA">
        <w:rPr>
          <w:rFonts w:ascii="Calibri" w:hAnsi="Calibri"/>
          <w:sz w:val="22"/>
          <w:szCs w:val="22"/>
        </w:rPr>
        <w:t xml:space="preserve"> budgets both in COINS and BOQ.</w:t>
      </w:r>
    </w:p>
    <w:p w:rsidR="007C159A" w:rsidRPr="004300FA" w:rsidRDefault="007C159A" w:rsidP="007C159A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>Negotiate and place orders with labour and material subcontractors</w:t>
      </w:r>
      <w:r>
        <w:rPr>
          <w:rFonts w:ascii="Calibri" w:hAnsi="Calibri"/>
          <w:sz w:val="22"/>
          <w:szCs w:val="22"/>
        </w:rPr>
        <w:t xml:space="preserve"> </w:t>
      </w:r>
      <w:r w:rsidRPr="004300FA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 </w:t>
      </w:r>
      <w:r w:rsidRPr="004300FA">
        <w:rPr>
          <w:rFonts w:ascii="Calibri" w:hAnsi="Calibri"/>
          <w:sz w:val="22"/>
          <w:szCs w:val="22"/>
        </w:rPr>
        <w:t>suppliers on a competitive tender basis.</w:t>
      </w:r>
    </w:p>
    <w:p w:rsidR="007C159A" w:rsidRPr="004300FA" w:rsidRDefault="007C159A" w:rsidP="007C159A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 xml:space="preserve">Calculate all the </w:t>
      </w:r>
      <w:r>
        <w:rPr>
          <w:rFonts w:ascii="Calibri" w:hAnsi="Calibri"/>
          <w:sz w:val="22"/>
          <w:szCs w:val="22"/>
        </w:rPr>
        <w:t>c</w:t>
      </w:r>
      <w:r w:rsidRPr="004300FA">
        <w:rPr>
          <w:rFonts w:ascii="Calibri" w:hAnsi="Calibri"/>
          <w:sz w:val="22"/>
          <w:szCs w:val="22"/>
        </w:rPr>
        <w:t>osts on developments within the business, reporting any movements in the costs since the preparation of the l</w:t>
      </w:r>
      <w:r>
        <w:rPr>
          <w:rFonts w:ascii="Calibri" w:hAnsi="Calibri"/>
          <w:sz w:val="22"/>
          <w:szCs w:val="22"/>
        </w:rPr>
        <w:t>and purchase exercise.  C</w:t>
      </w:r>
      <w:r w:rsidRPr="004300FA">
        <w:rPr>
          <w:rFonts w:ascii="Calibri" w:hAnsi="Calibri"/>
          <w:sz w:val="22"/>
          <w:szCs w:val="22"/>
        </w:rPr>
        <w:t>osts to include</w:t>
      </w:r>
      <w:r>
        <w:rPr>
          <w:rFonts w:ascii="Calibri" w:hAnsi="Calibri"/>
          <w:sz w:val="22"/>
          <w:szCs w:val="22"/>
        </w:rPr>
        <w:t>,</w:t>
      </w:r>
      <w:r w:rsidRPr="004300FA">
        <w:rPr>
          <w:rFonts w:ascii="Calibri" w:hAnsi="Calibri"/>
          <w:sz w:val="22"/>
          <w:szCs w:val="22"/>
        </w:rPr>
        <w:t xml:space="preserve"> but not restricted to</w:t>
      </w:r>
      <w:r>
        <w:rPr>
          <w:rFonts w:ascii="Calibri" w:hAnsi="Calibri"/>
          <w:sz w:val="22"/>
          <w:szCs w:val="22"/>
        </w:rPr>
        <w:t>,</w:t>
      </w:r>
      <w:r w:rsidRPr="004300FA">
        <w:rPr>
          <w:rFonts w:ascii="Calibri" w:hAnsi="Calibri"/>
          <w:sz w:val="22"/>
          <w:szCs w:val="22"/>
        </w:rPr>
        <w:t xml:space="preserve"> house pricing, labour costs, </w:t>
      </w:r>
      <w:r>
        <w:rPr>
          <w:rFonts w:ascii="Calibri" w:hAnsi="Calibri"/>
          <w:sz w:val="22"/>
          <w:szCs w:val="22"/>
        </w:rPr>
        <w:t xml:space="preserve">and </w:t>
      </w:r>
      <w:r w:rsidRPr="004300FA">
        <w:rPr>
          <w:rFonts w:ascii="Calibri" w:hAnsi="Calibri"/>
          <w:sz w:val="22"/>
          <w:szCs w:val="22"/>
        </w:rPr>
        <w:t>site work operations.</w:t>
      </w:r>
    </w:p>
    <w:p w:rsidR="00567824" w:rsidRPr="004300FA" w:rsidRDefault="00567824" w:rsidP="00567824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>Carry out full CVR process</w:t>
      </w:r>
      <w:r w:rsidR="00192845">
        <w:rPr>
          <w:rFonts w:ascii="Calibri" w:hAnsi="Calibri"/>
          <w:sz w:val="22"/>
          <w:szCs w:val="22"/>
        </w:rPr>
        <w:t>, incorporating analysis of Cost to Date and forecast Cost to Complete,</w:t>
      </w:r>
      <w:r w:rsidRPr="004300FA">
        <w:rPr>
          <w:rFonts w:ascii="Calibri" w:hAnsi="Calibri"/>
          <w:sz w:val="22"/>
          <w:szCs w:val="22"/>
        </w:rPr>
        <w:t xml:space="preserve"> and prepare and present information for P&amp;L meetings.</w:t>
      </w:r>
    </w:p>
    <w:p w:rsidR="00567824" w:rsidRPr="004300FA" w:rsidRDefault="000530A2" w:rsidP="00567824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</w:t>
      </w:r>
      <w:r w:rsidR="00567824" w:rsidRPr="004300FA">
        <w:rPr>
          <w:rFonts w:ascii="Calibri" w:hAnsi="Calibri"/>
          <w:sz w:val="22"/>
          <w:szCs w:val="22"/>
        </w:rPr>
        <w:t xml:space="preserve"> valuation</w:t>
      </w:r>
      <w:r w:rsidR="00010523">
        <w:rPr>
          <w:rFonts w:ascii="Calibri" w:hAnsi="Calibri"/>
          <w:sz w:val="22"/>
          <w:szCs w:val="22"/>
        </w:rPr>
        <w:t xml:space="preserve"> </w:t>
      </w:r>
      <w:r w:rsidR="00567824" w:rsidRPr="004300FA">
        <w:rPr>
          <w:rFonts w:ascii="Calibri" w:hAnsi="Calibri"/>
          <w:sz w:val="22"/>
          <w:szCs w:val="22"/>
        </w:rPr>
        <w:t>/</w:t>
      </w:r>
      <w:r w:rsidR="000105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payment / accrual process is completed in accordance with the commercial timetable.</w:t>
      </w:r>
    </w:p>
    <w:p w:rsidR="00567824" w:rsidRPr="004300FA" w:rsidRDefault="00567824" w:rsidP="00567824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lastRenderedPageBreak/>
        <w:t>Assist in finalising</w:t>
      </w:r>
      <w:r w:rsidR="00010523">
        <w:rPr>
          <w:rFonts w:ascii="Calibri" w:hAnsi="Calibri"/>
          <w:sz w:val="22"/>
          <w:szCs w:val="22"/>
        </w:rPr>
        <w:t xml:space="preserve"> </w:t>
      </w:r>
      <w:r w:rsidRPr="004300FA">
        <w:rPr>
          <w:rFonts w:ascii="Calibri" w:hAnsi="Calibri"/>
          <w:sz w:val="22"/>
          <w:szCs w:val="22"/>
        </w:rPr>
        <w:t>/</w:t>
      </w:r>
      <w:r w:rsidR="00010523">
        <w:rPr>
          <w:rFonts w:ascii="Calibri" w:hAnsi="Calibri"/>
          <w:sz w:val="22"/>
          <w:szCs w:val="22"/>
        </w:rPr>
        <w:t xml:space="preserve"> </w:t>
      </w:r>
      <w:r w:rsidRPr="004300FA">
        <w:rPr>
          <w:rFonts w:ascii="Calibri" w:hAnsi="Calibri"/>
          <w:sz w:val="22"/>
          <w:szCs w:val="22"/>
        </w:rPr>
        <w:t>agreeing</w:t>
      </w:r>
      <w:r w:rsidR="00010523">
        <w:rPr>
          <w:rFonts w:ascii="Calibri" w:hAnsi="Calibri"/>
          <w:sz w:val="22"/>
          <w:szCs w:val="22"/>
        </w:rPr>
        <w:t xml:space="preserve"> </w:t>
      </w:r>
      <w:r w:rsidRPr="004300FA">
        <w:rPr>
          <w:rFonts w:ascii="Calibri" w:hAnsi="Calibri"/>
          <w:sz w:val="22"/>
          <w:szCs w:val="22"/>
        </w:rPr>
        <w:t>/</w:t>
      </w:r>
      <w:r w:rsidR="00010523">
        <w:rPr>
          <w:rFonts w:ascii="Calibri" w:hAnsi="Calibri"/>
          <w:sz w:val="22"/>
          <w:szCs w:val="22"/>
        </w:rPr>
        <w:t xml:space="preserve"> </w:t>
      </w:r>
      <w:r w:rsidRPr="004300FA">
        <w:rPr>
          <w:rFonts w:ascii="Calibri" w:hAnsi="Calibri"/>
          <w:sz w:val="22"/>
          <w:szCs w:val="22"/>
        </w:rPr>
        <w:t xml:space="preserve">managing </w:t>
      </w:r>
      <w:r w:rsidR="00192845">
        <w:rPr>
          <w:rFonts w:ascii="Calibri" w:hAnsi="Calibri"/>
          <w:sz w:val="22"/>
          <w:szCs w:val="22"/>
        </w:rPr>
        <w:t xml:space="preserve">any </w:t>
      </w:r>
      <w:r w:rsidRPr="004300FA">
        <w:rPr>
          <w:rFonts w:ascii="Calibri" w:hAnsi="Calibri"/>
          <w:sz w:val="22"/>
          <w:szCs w:val="22"/>
        </w:rPr>
        <w:t xml:space="preserve">Housing Association </w:t>
      </w:r>
      <w:r w:rsidR="00192845">
        <w:rPr>
          <w:rFonts w:ascii="Calibri" w:hAnsi="Calibri"/>
          <w:sz w:val="22"/>
          <w:szCs w:val="22"/>
        </w:rPr>
        <w:t xml:space="preserve">or infrastructure </w:t>
      </w:r>
      <w:r w:rsidRPr="004300FA">
        <w:rPr>
          <w:rFonts w:ascii="Calibri" w:hAnsi="Calibri"/>
          <w:sz w:val="22"/>
          <w:szCs w:val="22"/>
        </w:rPr>
        <w:t>contracts.</w:t>
      </w:r>
    </w:p>
    <w:p w:rsidR="00567824" w:rsidRPr="004300FA" w:rsidRDefault="00567824" w:rsidP="00567824">
      <w:pPr>
        <w:jc w:val="both"/>
        <w:rPr>
          <w:rFonts w:ascii="Calibri" w:hAnsi="Calibri" w:cs="Arial"/>
          <w:sz w:val="22"/>
          <w:szCs w:val="22"/>
        </w:rPr>
      </w:pPr>
    </w:p>
    <w:p w:rsidR="00567824" w:rsidRPr="004300FA" w:rsidRDefault="00567824" w:rsidP="00567824">
      <w:pPr>
        <w:numPr>
          <w:ilvl w:val="0"/>
          <w:numId w:val="13"/>
        </w:numPr>
        <w:jc w:val="both"/>
        <w:rPr>
          <w:rFonts w:ascii="Calibri" w:hAnsi="Calibri"/>
          <w:b/>
          <w:sz w:val="22"/>
          <w:szCs w:val="22"/>
        </w:rPr>
      </w:pPr>
      <w:r w:rsidRPr="004300FA">
        <w:rPr>
          <w:rFonts w:ascii="Calibri" w:hAnsi="Calibri"/>
          <w:b/>
          <w:sz w:val="22"/>
          <w:szCs w:val="22"/>
        </w:rPr>
        <w:t>Monitoring and Cost Reporting</w:t>
      </w:r>
    </w:p>
    <w:p w:rsidR="00567824" w:rsidRPr="004300FA" w:rsidRDefault="00567824" w:rsidP="00567824">
      <w:pPr>
        <w:jc w:val="both"/>
        <w:rPr>
          <w:rFonts w:ascii="Calibri" w:hAnsi="Calibri"/>
          <w:sz w:val="22"/>
          <w:szCs w:val="22"/>
        </w:rPr>
      </w:pPr>
    </w:p>
    <w:p w:rsidR="00192845" w:rsidRPr="004300FA" w:rsidRDefault="007C159A" w:rsidP="00192845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Fully r</w:t>
      </w:r>
      <w:r w:rsidR="00192845" w:rsidRPr="004300FA">
        <w:rPr>
          <w:rFonts w:ascii="Calibri" w:hAnsi="Calibri"/>
          <w:sz w:val="22"/>
          <w:szCs w:val="22"/>
        </w:rPr>
        <w:t xml:space="preserve">eview CVR’s with QS’s and ensure that the cost analysis of </w:t>
      </w:r>
      <w:r w:rsidR="00192845">
        <w:rPr>
          <w:rFonts w:ascii="Calibri" w:hAnsi="Calibri"/>
          <w:sz w:val="22"/>
          <w:szCs w:val="22"/>
        </w:rPr>
        <w:t>all</w:t>
      </w:r>
      <w:r w:rsidR="00192845" w:rsidRPr="004300FA">
        <w:rPr>
          <w:rFonts w:ascii="Calibri" w:hAnsi="Calibri"/>
          <w:sz w:val="22"/>
          <w:szCs w:val="22"/>
        </w:rPr>
        <w:t xml:space="preserve"> </w:t>
      </w:r>
      <w:r w:rsidR="00192845">
        <w:rPr>
          <w:rFonts w:ascii="Calibri" w:hAnsi="Calibri"/>
          <w:sz w:val="22"/>
          <w:szCs w:val="22"/>
        </w:rPr>
        <w:t>sites is correct.</w:t>
      </w:r>
    </w:p>
    <w:p w:rsidR="00CE79A3" w:rsidRPr="004300FA" w:rsidRDefault="00CE79A3" w:rsidP="00CE79A3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>Report on Value Improvement actions through Quarterly Value Improvement Meetings.</w:t>
      </w:r>
    </w:p>
    <w:p w:rsidR="00CE79A3" w:rsidRPr="004300FA" w:rsidRDefault="00CE79A3" w:rsidP="00CE79A3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>Assist with the preparation of information for budget and forecasting purposes.</w:t>
      </w:r>
    </w:p>
    <w:p w:rsidR="00567824" w:rsidRPr="004300FA" w:rsidRDefault="00567824" w:rsidP="00567824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 xml:space="preserve">Monitor the performance of suppliers and subcontractors in conjunction with site based staff and provide feedback </w:t>
      </w:r>
      <w:r w:rsidR="00CE79A3">
        <w:rPr>
          <w:rFonts w:ascii="Calibri" w:hAnsi="Calibri"/>
          <w:sz w:val="22"/>
          <w:szCs w:val="22"/>
        </w:rPr>
        <w:t xml:space="preserve">and performance improvement plans </w:t>
      </w:r>
      <w:r w:rsidRPr="004300FA">
        <w:rPr>
          <w:rFonts w:ascii="Calibri" w:hAnsi="Calibri"/>
          <w:sz w:val="22"/>
          <w:szCs w:val="22"/>
        </w:rPr>
        <w:t>outlining where an unacceptable standard of materials or performance has been identified.</w:t>
      </w:r>
    </w:p>
    <w:p w:rsidR="00567824" w:rsidRPr="004300FA" w:rsidRDefault="00567824" w:rsidP="00567824">
      <w:pPr>
        <w:rPr>
          <w:rFonts w:ascii="Calibri" w:hAnsi="Calibri"/>
          <w:sz w:val="22"/>
          <w:szCs w:val="22"/>
        </w:rPr>
      </w:pPr>
    </w:p>
    <w:p w:rsidR="00567824" w:rsidRPr="004300FA" w:rsidRDefault="00567824" w:rsidP="00567824">
      <w:pPr>
        <w:numPr>
          <w:ilvl w:val="0"/>
          <w:numId w:val="13"/>
        </w:numPr>
        <w:jc w:val="both"/>
        <w:rPr>
          <w:rFonts w:ascii="Calibri" w:hAnsi="Calibri"/>
          <w:b/>
          <w:sz w:val="22"/>
          <w:szCs w:val="22"/>
        </w:rPr>
      </w:pPr>
      <w:r w:rsidRPr="004300FA">
        <w:rPr>
          <w:rFonts w:ascii="Calibri" w:hAnsi="Calibri"/>
          <w:b/>
          <w:sz w:val="22"/>
          <w:szCs w:val="22"/>
        </w:rPr>
        <w:t>General</w:t>
      </w:r>
    </w:p>
    <w:p w:rsidR="00567824" w:rsidRPr="004300FA" w:rsidRDefault="00567824" w:rsidP="00567824">
      <w:pPr>
        <w:jc w:val="both"/>
        <w:rPr>
          <w:rFonts w:ascii="Calibri" w:hAnsi="Calibri" w:cs="Arial"/>
          <w:sz w:val="22"/>
          <w:szCs w:val="22"/>
        </w:rPr>
      </w:pPr>
    </w:p>
    <w:p w:rsidR="00567824" w:rsidRPr="004300FA" w:rsidRDefault="00567824" w:rsidP="00567824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>Be aware of all codes of practice that have a commercial impact i.e. building regulations, HSE, NHBC</w:t>
      </w:r>
      <w:r w:rsidR="00010523">
        <w:rPr>
          <w:rFonts w:ascii="Calibri" w:hAnsi="Calibri"/>
          <w:sz w:val="22"/>
          <w:szCs w:val="22"/>
        </w:rPr>
        <w:t>,</w:t>
      </w:r>
      <w:r w:rsidRPr="004300FA">
        <w:rPr>
          <w:rFonts w:ascii="Calibri" w:hAnsi="Calibri"/>
          <w:sz w:val="22"/>
          <w:szCs w:val="22"/>
        </w:rPr>
        <w:t xml:space="preserve"> etc.</w:t>
      </w:r>
    </w:p>
    <w:p w:rsidR="00567824" w:rsidRPr="004300FA" w:rsidRDefault="00010523" w:rsidP="00567824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Attend concept, pre-</w:t>
      </w:r>
      <w:r w:rsidR="00567824" w:rsidRPr="004300FA">
        <w:rPr>
          <w:rFonts w:ascii="Calibri" w:hAnsi="Calibri"/>
          <w:sz w:val="22"/>
          <w:szCs w:val="22"/>
        </w:rPr>
        <w:t xml:space="preserve">start, </w:t>
      </w:r>
      <w:r>
        <w:rPr>
          <w:rFonts w:ascii="Calibri" w:hAnsi="Calibri"/>
          <w:sz w:val="22"/>
          <w:szCs w:val="22"/>
        </w:rPr>
        <w:t xml:space="preserve">pre-tender, </w:t>
      </w:r>
      <w:r w:rsidR="00CE79A3">
        <w:rPr>
          <w:rFonts w:ascii="Calibri" w:hAnsi="Calibri"/>
          <w:sz w:val="22"/>
          <w:szCs w:val="22"/>
        </w:rPr>
        <w:t xml:space="preserve">specification, Health &amp; Safety, </w:t>
      </w:r>
      <w:r w:rsidR="00567824" w:rsidRPr="004300FA">
        <w:rPr>
          <w:rFonts w:ascii="Calibri" w:hAnsi="Calibri"/>
          <w:sz w:val="22"/>
          <w:szCs w:val="22"/>
        </w:rPr>
        <w:t>and any other relevant meeting as required under the Company’s Operating Framework.</w:t>
      </w:r>
    </w:p>
    <w:p w:rsidR="00567824" w:rsidRPr="004300FA" w:rsidRDefault="00567824" w:rsidP="00567824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>Undertake regular site visits.</w:t>
      </w:r>
    </w:p>
    <w:p w:rsidR="00567824" w:rsidRPr="004300FA" w:rsidRDefault="00567824" w:rsidP="00567824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>Attend business unit and Group meetings as may be necessary.</w:t>
      </w:r>
    </w:p>
    <w:p w:rsidR="00567824" w:rsidRPr="004300FA" w:rsidRDefault="00567824" w:rsidP="00567824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 xml:space="preserve">Any other duties as required by the Commercial Director. </w:t>
      </w:r>
    </w:p>
    <w:p w:rsidR="00B54C56" w:rsidRDefault="00B54C56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AF1AE3" w:rsidRPr="004300FA" w:rsidRDefault="00AF1AE3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4300FA">
        <w:rPr>
          <w:rFonts w:ascii="Calibri" w:hAnsi="Calibri" w:cs="Arial"/>
          <w:color w:val="CC0000"/>
          <w:sz w:val="22"/>
          <w:szCs w:val="22"/>
        </w:rPr>
        <w:t>Primary network: who you will work with</w:t>
      </w:r>
      <w:r w:rsidR="00A31A16" w:rsidRPr="004300FA">
        <w:rPr>
          <w:rFonts w:ascii="Calibri" w:hAnsi="Calibri" w:cs="Arial"/>
          <w:color w:val="CC0000"/>
          <w:sz w:val="22"/>
          <w:szCs w:val="22"/>
        </w:rPr>
        <w:t xml:space="preserve"> </w:t>
      </w:r>
    </w:p>
    <w:p w:rsidR="00114212" w:rsidRPr="004300FA" w:rsidRDefault="00114212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AF1AE3" w:rsidRPr="004300FA" w:rsidTr="008D0FE2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AF1AE3" w:rsidRPr="004300FA" w:rsidRDefault="00AF1AE3" w:rsidP="001265E9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4300FA">
              <w:rPr>
                <w:rFonts w:ascii="Calibri" w:hAnsi="Calibri" w:cs="Arial"/>
                <w:color w:val="FFFFFF"/>
                <w:sz w:val="22"/>
                <w:szCs w:val="22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AF1AE3" w:rsidRPr="004300FA" w:rsidRDefault="00114212" w:rsidP="001265E9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</w:rPr>
            </w:pPr>
            <w:r w:rsidRPr="004300FA">
              <w:rPr>
                <w:b/>
              </w:rPr>
              <w:t>All staff involved in site development</w:t>
            </w:r>
          </w:p>
        </w:tc>
      </w:tr>
      <w:tr w:rsidR="00AF1AE3" w:rsidRPr="004300FA" w:rsidTr="008D0FE2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AF1AE3" w:rsidRPr="004300FA" w:rsidRDefault="00AF1AE3" w:rsidP="001265E9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4300FA">
              <w:rPr>
                <w:rFonts w:ascii="Calibri" w:hAnsi="Calibri" w:cs="Arial"/>
                <w:color w:val="FFFFFF"/>
                <w:sz w:val="22"/>
                <w:szCs w:val="22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AF1AE3" w:rsidRPr="004300FA" w:rsidRDefault="00114212" w:rsidP="001265E9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</w:rPr>
            </w:pPr>
            <w:r w:rsidRPr="004300FA">
              <w:rPr>
                <w:b/>
              </w:rPr>
              <w:t>External suppliers of materials and labour</w:t>
            </w:r>
          </w:p>
        </w:tc>
      </w:tr>
    </w:tbl>
    <w:p w:rsidR="00E25C00" w:rsidRPr="004300FA" w:rsidRDefault="00E25C00" w:rsidP="001265E9">
      <w:pPr>
        <w:jc w:val="both"/>
        <w:rPr>
          <w:rFonts w:ascii="Calibri" w:hAnsi="Calibri" w:cs="Arial"/>
          <w:sz w:val="22"/>
          <w:szCs w:val="22"/>
        </w:rPr>
      </w:pPr>
    </w:p>
    <w:p w:rsidR="00E25C00" w:rsidRPr="004300FA" w:rsidRDefault="00E25C00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4300FA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1265E9" w:rsidRPr="004300FA">
        <w:rPr>
          <w:rFonts w:ascii="Calibri" w:hAnsi="Calibri" w:cs="Arial"/>
          <w:color w:val="CC0000"/>
          <w:sz w:val="22"/>
          <w:szCs w:val="22"/>
        </w:rPr>
        <w:t>competencies</w:t>
      </w:r>
    </w:p>
    <w:p w:rsidR="00AF1AE3" w:rsidRPr="004300FA" w:rsidRDefault="00AF1AE3" w:rsidP="001265E9">
      <w:pPr>
        <w:jc w:val="both"/>
        <w:rPr>
          <w:rFonts w:ascii="Calibri" w:hAnsi="Calibri" w:cs="Arial"/>
          <w:sz w:val="22"/>
          <w:szCs w:val="22"/>
        </w:rPr>
      </w:pPr>
    </w:p>
    <w:p w:rsidR="00AF1AE3" w:rsidRPr="004300FA" w:rsidRDefault="00567824" w:rsidP="00567824">
      <w:pPr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4300FA">
        <w:rPr>
          <w:rFonts w:ascii="Calibri" w:hAnsi="Calibri" w:cs="Arial"/>
          <w:sz w:val="22"/>
          <w:szCs w:val="22"/>
        </w:rPr>
        <w:t>Develop Relationships</w:t>
      </w:r>
    </w:p>
    <w:p w:rsidR="00567824" w:rsidRPr="004300FA" w:rsidRDefault="00567824" w:rsidP="00567824">
      <w:pPr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4300FA">
        <w:rPr>
          <w:rFonts w:ascii="Calibri" w:hAnsi="Calibri" w:cs="Arial"/>
          <w:sz w:val="22"/>
          <w:szCs w:val="22"/>
        </w:rPr>
        <w:t>Collaborate</w:t>
      </w:r>
    </w:p>
    <w:p w:rsidR="00567824" w:rsidRPr="004300FA" w:rsidRDefault="00567824" w:rsidP="00567824">
      <w:pPr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4300FA">
        <w:rPr>
          <w:rFonts w:ascii="Calibri" w:hAnsi="Calibri" w:cs="Arial"/>
          <w:sz w:val="22"/>
          <w:szCs w:val="22"/>
        </w:rPr>
        <w:t>Professional Impact</w:t>
      </w:r>
    </w:p>
    <w:p w:rsidR="00567824" w:rsidRPr="004300FA" w:rsidRDefault="00567824" w:rsidP="00567824">
      <w:pPr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4300FA">
        <w:rPr>
          <w:rFonts w:ascii="Calibri" w:hAnsi="Calibri" w:cs="Arial"/>
          <w:sz w:val="22"/>
          <w:szCs w:val="22"/>
        </w:rPr>
        <w:t>Focus on Solutions</w:t>
      </w:r>
    </w:p>
    <w:p w:rsidR="00567824" w:rsidRPr="004300FA" w:rsidRDefault="00567824" w:rsidP="00567824">
      <w:pPr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4300FA">
        <w:rPr>
          <w:rFonts w:ascii="Calibri" w:hAnsi="Calibri" w:cs="Arial"/>
          <w:sz w:val="22"/>
          <w:szCs w:val="22"/>
        </w:rPr>
        <w:t>Be Planned and Organised</w:t>
      </w:r>
    </w:p>
    <w:p w:rsidR="00AF1AE3" w:rsidRPr="007C159A" w:rsidRDefault="00567824" w:rsidP="001265E9">
      <w:pPr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4300FA">
        <w:rPr>
          <w:rFonts w:ascii="Calibri" w:hAnsi="Calibri" w:cs="Arial"/>
          <w:sz w:val="22"/>
          <w:szCs w:val="22"/>
        </w:rPr>
        <w:t>Makes Informed Decisions</w:t>
      </w:r>
    </w:p>
    <w:p w:rsidR="00FA40F4" w:rsidRPr="004300FA" w:rsidRDefault="00FA40F4" w:rsidP="001265E9">
      <w:pPr>
        <w:jc w:val="both"/>
        <w:rPr>
          <w:rFonts w:ascii="Calibri" w:hAnsi="Calibri" w:cs="Arial"/>
          <w:sz w:val="22"/>
          <w:szCs w:val="22"/>
        </w:rPr>
      </w:pPr>
    </w:p>
    <w:p w:rsidR="00FA40F4" w:rsidRPr="004300FA" w:rsidRDefault="001265E9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4300FA">
        <w:rPr>
          <w:rFonts w:ascii="Calibri" w:hAnsi="Calibri" w:cs="Arial"/>
          <w:color w:val="CC0000"/>
          <w:sz w:val="22"/>
          <w:szCs w:val="22"/>
        </w:rPr>
        <w:t>Key experience</w:t>
      </w:r>
    </w:p>
    <w:p w:rsidR="00FA40F4" w:rsidRPr="004300FA" w:rsidRDefault="00FA40F4" w:rsidP="001265E9">
      <w:pPr>
        <w:jc w:val="both"/>
        <w:rPr>
          <w:rFonts w:ascii="Calibri" w:hAnsi="Calibri" w:cs="Arial"/>
          <w:sz w:val="22"/>
          <w:szCs w:val="22"/>
        </w:rPr>
      </w:pPr>
    </w:p>
    <w:p w:rsidR="00567824" w:rsidRPr="004300FA" w:rsidRDefault="00567824" w:rsidP="00567824">
      <w:pPr>
        <w:pStyle w:val="bullet2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 xml:space="preserve">Strong knowledge of all quantity surveying </w:t>
      </w:r>
      <w:r w:rsidR="00010523">
        <w:rPr>
          <w:rFonts w:ascii="Calibri" w:hAnsi="Calibri"/>
          <w:sz w:val="22"/>
          <w:szCs w:val="22"/>
        </w:rPr>
        <w:t xml:space="preserve">and buying </w:t>
      </w:r>
      <w:r w:rsidRPr="004300FA">
        <w:rPr>
          <w:rFonts w:ascii="Calibri" w:hAnsi="Calibri"/>
          <w:sz w:val="22"/>
          <w:szCs w:val="22"/>
        </w:rPr>
        <w:t>activities.</w:t>
      </w:r>
    </w:p>
    <w:p w:rsidR="00010523" w:rsidRPr="004300FA" w:rsidRDefault="00010523" w:rsidP="00010523">
      <w:pPr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Demonstrated ability to manage and lead a professional t</w:t>
      </w:r>
      <w:r w:rsidRPr="004300FA">
        <w:rPr>
          <w:rFonts w:ascii="Calibri" w:hAnsi="Calibri"/>
          <w:sz w:val="22"/>
          <w:szCs w:val="22"/>
        </w:rPr>
        <w:t>eam.</w:t>
      </w:r>
    </w:p>
    <w:p w:rsidR="00010523" w:rsidRPr="004300FA" w:rsidRDefault="00010523" w:rsidP="00010523">
      <w:pPr>
        <w:pStyle w:val="bullet2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>Wide experience in the procurement and purchase of materials and sub contract labour.</w:t>
      </w:r>
    </w:p>
    <w:p w:rsidR="00567824" w:rsidRPr="004300FA" w:rsidRDefault="00567824" w:rsidP="00567824">
      <w:pPr>
        <w:pStyle w:val="bullet2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>Good knowledge of Building Regulations, NHBC and Health and Safety requirements.</w:t>
      </w:r>
    </w:p>
    <w:p w:rsidR="00567824" w:rsidRPr="004300FA" w:rsidRDefault="00567824" w:rsidP="00567824">
      <w:pPr>
        <w:pStyle w:val="bullet2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4300FA">
        <w:rPr>
          <w:rFonts w:ascii="Calibri" w:hAnsi="Calibri"/>
          <w:sz w:val="22"/>
          <w:szCs w:val="22"/>
        </w:rPr>
        <w:t>IT literate (COINS system preferable).</w:t>
      </w:r>
    </w:p>
    <w:p w:rsidR="000D6F59" w:rsidRPr="004300FA" w:rsidRDefault="000D6F59" w:rsidP="001265E9">
      <w:pPr>
        <w:ind w:left="-360"/>
        <w:jc w:val="both"/>
        <w:rPr>
          <w:rFonts w:ascii="Calibri" w:hAnsi="Calibri" w:cs="Arial"/>
          <w:sz w:val="22"/>
          <w:szCs w:val="22"/>
        </w:rPr>
      </w:pPr>
    </w:p>
    <w:p w:rsidR="00567824" w:rsidRPr="004300FA" w:rsidRDefault="00567824" w:rsidP="001265E9">
      <w:pPr>
        <w:ind w:left="-360"/>
        <w:jc w:val="both"/>
        <w:rPr>
          <w:rFonts w:ascii="Calibri" w:hAnsi="Calibri" w:cs="Arial"/>
          <w:sz w:val="22"/>
          <w:szCs w:val="22"/>
        </w:rPr>
      </w:pPr>
    </w:p>
    <w:p w:rsidR="000D6F59" w:rsidRDefault="000D6F59" w:rsidP="007C159A">
      <w:pPr>
        <w:ind w:left="-360"/>
        <w:rPr>
          <w:rFonts w:ascii="Calibri" w:hAnsi="Calibri" w:cs="Arial"/>
          <w:sz w:val="22"/>
          <w:szCs w:val="22"/>
        </w:rPr>
      </w:pPr>
      <w:r w:rsidRPr="004300FA">
        <w:rPr>
          <w:rFonts w:ascii="Calibri" w:hAnsi="Calibri" w:cs="Arial"/>
          <w:sz w:val="22"/>
          <w:szCs w:val="22"/>
        </w:rPr>
        <w:t xml:space="preserve">If you would like to be considered for this role, please send your CV </w:t>
      </w:r>
      <w:r w:rsidR="007C159A">
        <w:rPr>
          <w:rFonts w:ascii="Calibri" w:hAnsi="Calibri" w:cs="Arial"/>
          <w:sz w:val="22"/>
          <w:szCs w:val="22"/>
        </w:rPr>
        <w:t xml:space="preserve">with a covering letter outlining your suitability for the role </w:t>
      </w:r>
      <w:r w:rsidRPr="004300FA">
        <w:rPr>
          <w:rFonts w:ascii="Calibri" w:hAnsi="Calibri" w:cs="Arial"/>
          <w:sz w:val="22"/>
          <w:szCs w:val="22"/>
        </w:rPr>
        <w:t>to</w:t>
      </w:r>
      <w:r w:rsidR="00010523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3E6DB9" w:rsidRPr="00887067">
          <w:rPr>
            <w:rStyle w:val="Hyperlink"/>
            <w:rFonts w:ascii="Calibri" w:hAnsi="Calibri" w:cs="Arial"/>
            <w:sz w:val="22"/>
            <w:szCs w:val="22"/>
          </w:rPr>
          <w:t>kirsteen.tweddle@taylorwimpey.com</w:t>
        </w:r>
      </w:hyperlink>
      <w:r w:rsidR="00010523">
        <w:rPr>
          <w:rFonts w:ascii="Calibri" w:hAnsi="Calibri" w:cs="Arial"/>
          <w:sz w:val="22"/>
          <w:szCs w:val="22"/>
        </w:rPr>
        <w:t xml:space="preserve"> by close of business on Friday 10</w:t>
      </w:r>
      <w:r w:rsidR="00010523" w:rsidRPr="00010523">
        <w:rPr>
          <w:rFonts w:ascii="Calibri" w:hAnsi="Calibri" w:cs="Arial"/>
          <w:sz w:val="22"/>
          <w:szCs w:val="22"/>
          <w:vertAlign w:val="superscript"/>
        </w:rPr>
        <w:t>th</w:t>
      </w:r>
      <w:r w:rsidR="00010523">
        <w:rPr>
          <w:rFonts w:ascii="Calibri" w:hAnsi="Calibri" w:cs="Arial"/>
          <w:sz w:val="22"/>
          <w:szCs w:val="22"/>
        </w:rPr>
        <w:t xml:space="preserve"> July 2015.</w:t>
      </w:r>
    </w:p>
    <w:sectPr w:rsidR="000D6F59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0D" w:rsidRDefault="00704E0D">
      <w:r>
        <w:separator/>
      </w:r>
    </w:p>
  </w:endnote>
  <w:endnote w:type="continuationSeparator" w:id="0">
    <w:p w:rsidR="00704E0D" w:rsidRDefault="0070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Version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0D" w:rsidRDefault="00704E0D">
      <w:r>
        <w:separator/>
      </w:r>
    </w:p>
  </w:footnote>
  <w:footnote w:type="continuationSeparator" w:id="0">
    <w:p w:rsidR="00704E0D" w:rsidRDefault="0070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4F2272" w:rsidRDefault="007D6876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rFonts w:ascii="Arial" w:hAnsi="Arial" w:cs="Arial"/>
        <w:b/>
        <w:bCs/>
        <w:noProof/>
        <w:color w:val="CC0000"/>
        <w:sz w:val="34"/>
        <w:szCs w:val="34"/>
        <w:lang w:eastAsia="en-GB"/>
      </w:rPr>
      <w:drawing>
        <wp:anchor distT="0" distB="0" distL="114300" distR="114300" simplePos="0" relativeHeight="251658240" behindDoc="1" locked="0" layoutInCell="1" allowOverlap="1" wp14:anchorId="6656913D" wp14:editId="220EBFE8">
          <wp:simplePos x="0" y="0"/>
          <wp:positionH relativeFrom="column">
            <wp:posOffset>-66675</wp:posOffset>
          </wp:positionH>
          <wp:positionV relativeFrom="paragraph">
            <wp:posOffset>-97155</wp:posOffset>
          </wp:positionV>
          <wp:extent cx="1045585" cy="657225"/>
          <wp:effectExtent l="0" t="0" r="2540" b="0"/>
          <wp:wrapNone/>
          <wp:docPr id="2" name="Picture 2" descr="C:\Users\lynette.jack@taylorwimpey.com\Desktop\T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ette.jack@taylorwimpey.com\Desktop\TW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5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4B5135">
      <w:rPr>
        <w:rFonts w:ascii="Arial" w:hAnsi="Arial" w:cs="Arial"/>
        <w:b/>
        <w:bCs/>
        <w:color w:val="CC0000"/>
        <w:sz w:val="34"/>
        <w:szCs w:val="34"/>
      </w:rPr>
      <w:tab/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045FE"/>
    <w:multiLevelType w:val="hybridMultilevel"/>
    <w:tmpl w:val="5030B9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4F3C80"/>
    <w:multiLevelType w:val="hybridMultilevel"/>
    <w:tmpl w:val="8AE4C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EF59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383B6FC1"/>
    <w:multiLevelType w:val="hybridMultilevel"/>
    <w:tmpl w:val="4008F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0169F"/>
    <w:multiLevelType w:val="hybridMultilevel"/>
    <w:tmpl w:val="CC705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B94800"/>
    <w:multiLevelType w:val="hybridMultilevel"/>
    <w:tmpl w:val="E28C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D3181"/>
    <w:multiLevelType w:val="hybridMultilevel"/>
    <w:tmpl w:val="599C1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892935"/>
    <w:multiLevelType w:val="hybridMultilevel"/>
    <w:tmpl w:val="4808C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8976FF"/>
    <w:multiLevelType w:val="hybridMultilevel"/>
    <w:tmpl w:val="734451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17"/>
  </w:num>
  <w:num w:numId="7">
    <w:abstractNumId w:val="11"/>
  </w:num>
  <w:num w:numId="8">
    <w:abstractNumId w:val="6"/>
  </w:num>
  <w:num w:numId="9">
    <w:abstractNumId w:val="16"/>
  </w:num>
  <w:num w:numId="10">
    <w:abstractNumId w:val="19"/>
  </w:num>
  <w:num w:numId="11">
    <w:abstractNumId w:val="2"/>
  </w:num>
  <w:num w:numId="12">
    <w:abstractNumId w:val="7"/>
  </w:num>
  <w:num w:numId="13">
    <w:abstractNumId w:val="18"/>
  </w:num>
  <w:num w:numId="14">
    <w:abstractNumId w:val="5"/>
  </w:num>
  <w:num w:numId="15">
    <w:abstractNumId w:val="1"/>
  </w:num>
  <w:num w:numId="16">
    <w:abstractNumId w:val="20"/>
  </w:num>
  <w:num w:numId="17">
    <w:abstractNumId w:val="9"/>
  </w:num>
  <w:num w:numId="18">
    <w:abstractNumId w:val="10"/>
  </w:num>
  <w:num w:numId="19">
    <w:abstractNumId w:val="14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10523"/>
    <w:rsid w:val="00037868"/>
    <w:rsid w:val="000427EC"/>
    <w:rsid w:val="000530A2"/>
    <w:rsid w:val="000B541E"/>
    <w:rsid w:val="000D6F59"/>
    <w:rsid w:val="000F17A3"/>
    <w:rsid w:val="000F18EC"/>
    <w:rsid w:val="0010370B"/>
    <w:rsid w:val="001102F3"/>
    <w:rsid w:val="00114212"/>
    <w:rsid w:val="001265E9"/>
    <w:rsid w:val="00140AA0"/>
    <w:rsid w:val="001601AA"/>
    <w:rsid w:val="001635C1"/>
    <w:rsid w:val="00192845"/>
    <w:rsid w:val="001D147B"/>
    <w:rsid w:val="00206E3D"/>
    <w:rsid w:val="002443F1"/>
    <w:rsid w:val="00254C2A"/>
    <w:rsid w:val="002F1E5D"/>
    <w:rsid w:val="00331A17"/>
    <w:rsid w:val="00342D8E"/>
    <w:rsid w:val="00375230"/>
    <w:rsid w:val="00392756"/>
    <w:rsid w:val="003A2878"/>
    <w:rsid w:val="003B136E"/>
    <w:rsid w:val="003E6DB9"/>
    <w:rsid w:val="003F06FD"/>
    <w:rsid w:val="004300FA"/>
    <w:rsid w:val="004B5135"/>
    <w:rsid w:val="004F2272"/>
    <w:rsid w:val="004F3F97"/>
    <w:rsid w:val="00524CB3"/>
    <w:rsid w:val="00544400"/>
    <w:rsid w:val="005541C0"/>
    <w:rsid w:val="00567824"/>
    <w:rsid w:val="0057345B"/>
    <w:rsid w:val="005C7A61"/>
    <w:rsid w:val="00605ACB"/>
    <w:rsid w:val="006279E0"/>
    <w:rsid w:val="00686E50"/>
    <w:rsid w:val="00687B42"/>
    <w:rsid w:val="00696FE1"/>
    <w:rsid w:val="006B304F"/>
    <w:rsid w:val="006F0181"/>
    <w:rsid w:val="00704E0D"/>
    <w:rsid w:val="0071195A"/>
    <w:rsid w:val="00720BC8"/>
    <w:rsid w:val="00762997"/>
    <w:rsid w:val="00796571"/>
    <w:rsid w:val="007C159A"/>
    <w:rsid w:val="007D6876"/>
    <w:rsid w:val="008539F5"/>
    <w:rsid w:val="00894231"/>
    <w:rsid w:val="008D0CA9"/>
    <w:rsid w:val="008D0FE2"/>
    <w:rsid w:val="008E273B"/>
    <w:rsid w:val="008F0803"/>
    <w:rsid w:val="008F0D53"/>
    <w:rsid w:val="009878B1"/>
    <w:rsid w:val="009A277A"/>
    <w:rsid w:val="009A73EB"/>
    <w:rsid w:val="009D0B11"/>
    <w:rsid w:val="00A31A16"/>
    <w:rsid w:val="00A3311A"/>
    <w:rsid w:val="00A93059"/>
    <w:rsid w:val="00AA07C2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9191F"/>
    <w:rsid w:val="00B93651"/>
    <w:rsid w:val="00BA78DA"/>
    <w:rsid w:val="00BB3293"/>
    <w:rsid w:val="00C11094"/>
    <w:rsid w:val="00C5225D"/>
    <w:rsid w:val="00C73440"/>
    <w:rsid w:val="00C8304C"/>
    <w:rsid w:val="00CC5874"/>
    <w:rsid w:val="00CD6C56"/>
    <w:rsid w:val="00CE79A3"/>
    <w:rsid w:val="00D053A2"/>
    <w:rsid w:val="00D2067F"/>
    <w:rsid w:val="00D937EF"/>
    <w:rsid w:val="00DA0EFA"/>
    <w:rsid w:val="00DA7F21"/>
    <w:rsid w:val="00DC515B"/>
    <w:rsid w:val="00DD0ACC"/>
    <w:rsid w:val="00DD6731"/>
    <w:rsid w:val="00DF339D"/>
    <w:rsid w:val="00E25C00"/>
    <w:rsid w:val="00E34143"/>
    <w:rsid w:val="00E5711A"/>
    <w:rsid w:val="00E76284"/>
    <w:rsid w:val="00E85BC4"/>
    <w:rsid w:val="00EA60C7"/>
    <w:rsid w:val="00EB5417"/>
    <w:rsid w:val="00ED3018"/>
    <w:rsid w:val="00F0246E"/>
    <w:rsid w:val="00F117C1"/>
    <w:rsid w:val="00F65759"/>
    <w:rsid w:val="00F81237"/>
    <w:rsid w:val="00F91958"/>
    <w:rsid w:val="00F9393E"/>
    <w:rsid w:val="00FA40F4"/>
    <w:rsid w:val="00FA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114212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114212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567824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114212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114212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567824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en.tweddle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4155</CharactersWithSpaces>
  <SharedDoc>false</SharedDoc>
  <HLinks>
    <vt:vector size="6" baseType="variant">
      <vt:variant>
        <vt:i4>7012375</vt:i4>
      </vt:variant>
      <vt:variant>
        <vt:i4>0</vt:i4>
      </vt:variant>
      <vt:variant>
        <vt:i4>0</vt:i4>
      </vt:variant>
      <vt:variant>
        <vt:i4>5</vt:i4>
      </vt:variant>
      <vt:variant>
        <vt:lpwstr>mailto:kirsteen.tweedle@taylorwimpey.com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Lynette Jack - TW Head Office</cp:lastModifiedBy>
  <cp:revision>2</cp:revision>
  <cp:lastPrinted>2013-04-02T07:01:00Z</cp:lastPrinted>
  <dcterms:created xsi:type="dcterms:W3CDTF">2015-06-29T07:40:00Z</dcterms:created>
  <dcterms:modified xsi:type="dcterms:W3CDTF">2015-06-29T07:40:00Z</dcterms:modified>
</cp:coreProperties>
</file>